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cx="http://schemas.microsoft.com/office/drawing/2014/chartex">
  <w:body>
    <w:p>
      <w:pPr/>
      <w:r/>
    </w:p>
    <w:p>
      <w:pPr>
        <w:bidi w:val="0"/>
        <w:jc w:val="both"/>
        <w:rPr>
          <w:rFonts w:ascii="Times New Roman" w:eastAsia="宋体" w:hAnsi="Times New Roman" w:cs="Times New Roman" w:hint="default"/>
          <w:color w:val="auto"/>
          <w:highlight w:val="none"/>
        </w:rPr>
      </w:pPr>
      <w:bookmarkStart w:id="0" w:name="OLE_LINK18"/>
      <w:bookmarkStart w:id="1" w:name="_GoBack"/>
      <w:bookmarkEnd w:id="1"/>
    </w:p>
    <w:p>
      <w:pPr>
        <w:bidi w:val="0"/>
        <w:jc w:val="both"/>
        <w:rPr>
          <w:rFonts w:ascii="Times New Roman" w:eastAsia="宋体" w:hAnsi="Times New Roman" w:cs="Times New Roman" w:hint="default"/>
          <w:color w:val="auto"/>
          <w:highlight w:val="none"/>
        </w:rPr>
      </w:pPr>
    </w:p>
    <w:p>
      <w:pPr>
        <w:bidi w:val="0"/>
        <w:jc w:val="both"/>
        <w:rPr>
          <w:rFonts w:ascii="Times New Roman" w:eastAsia="宋体" w:hAnsi="Times New Roman" w:cs="Times New Roman" w:hint="default"/>
          <w:color w:val="auto"/>
          <w:highlight w:val="none"/>
        </w:rPr>
      </w:pPr>
    </w:p>
    <w:p>
      <w:pPr>
        <w:pStyle w:val="Heading1"/>
        <w:bidi w:val="0"/>
        <w:rPr>
          <w:rFonts w:ascii="Times New Roman" w:hAnsi="Times New Roman" w:cs="Times New Roman" w:hint="default"/>
          <w:color w:val="auto"/>
          <w:sz w:val="44"/>
          <w:szCs w:val="44"/>
          <w:highlight w:val="none"/>
        </w:rPr>
      </w:pPr>
      <w:bookmarkStart w:id="2" w:name="_Toc24054"/>
      <w:bookmarkStart w:id="3" w:name="_Toc28201"/>
      <w:bookmarkStart w:id="4" w:name="_Toc24839"/>
      <w:r>
        <w:rPr>
          <w:rFonts w:ascii="Times New Roman" w:hAnsi="Times New Roman" w:cs="Times New Roman" w:hint="default"/>
          <w:color w:val="auto"/>
          <w:sz w:val="44"/>
          <w:szCs w:val="44"/>
          <w:highlight w:val="none"/>
        </w:rPr>
        <w:t xml:space="preserve">项目支出绩效评价报告</w:t>
      </w:r>
      <w:bookmarkEnd w:id="2"/>
      <w:bookmarkEnd w:id="3"/>
      <w:bookmarkEnd w:id="4"/>
    </w:p>
    <w:p>
      <w:pPr>
        <w:ind w:firstLine="883"/>
        <w:jc w:val="both"/>
        <w:rPr>
          <w:rFonts w:ascii="Times New Roman" w:eastAsia="宋体" w:hAnsi="Times New Roman" w:cs="Times New Roman" w:hint="default"/>
          <w:b/>
          <w:bCs/>
          <w:color w:val="auto"/>
          <w:sz w:val="44"/>
          <w:szCs w:val="44"/>
          <w:highlight w:val="none"/>
        </w:rPr>
      </w:pPr>
    </w:p>
    <w:p>
      <w:pPr>
        <w:bidi w:val="0"/>
        <w:jc w:val="both"/>
        <w:rPr>
          <w:rFonts w:ascii="Times New Roman" w:eastAsia="宋体" w:hAnsi="Times New Roman" w:cs="Times New Roman" w:hint="default"/>
          <w:color w:val="auto"/>
          <w:highlight w:val="none"/>
        </w:rPr>
      </w:pPr>
    </w:p>
    <w:p>
      <w:pPr>
        <w:bidi w:val="0"/>
        <w:ind w:left="0" w:firstLine="0" w:leftChars="0" w:firstLineChars="0"/>
        <w:jc w:val="center"/>
        <w:rPr>
          <w:rFonts w:ascii="Times New Roman" w:eastAsia="宋体" w:hAnsi="Times New Roman" w:cs="Times New Roman" w:hint="default"/>
          <w:color w:val="auto"/>
          <w:highlight w:val="none"/>
        </w:rPr>
      </w:pPr>
      <w:r>
        <w:rPr>
          <w:color w:val="auto"/>
          <w:sz w:val="28"/>
          <w:szCs w:val="28"/>
          <w:highlight w:val="none"/>
        </w:rPr>
        <w:t xml:space="preserve">（202</w:t>
      </w:r>
      <w:r>
        <w:rPr>
          <w:rFonts w:hint="eastAsia"/>
          <w:color w:val="auto"/>
          <w:sz w:val="28"/>
          <w:szCs w:val="28"/>
          <w:highlight w:val="none"/>
          <w:lang w:val="en-US" w:eastAsia="zh-CN"/>
        </w:rPr>
        <w:t xml:space="preserve">4</w:t>
      </w:r>
      <w:r>
        <w:rPr>
          <w:color w:val="auto"/>
          <w:sz w:val="28"/>
          <w:szCs w:val="28"/>
          <w:highlight w:val="none"/>
        </w:rPr>
        <w:t xml:space="preserve">年度）</w:t>
      </w:r>
    </w:p>
    <w:p>
      <w:pPr>
        <w:bidi w:val="0"/>
        <w:jc w:val="both"/>
        <w:rPr>
          <w:rFonts w:ascii="Times New Roman" w:eastAsia="宋体" w:hAnsi="Times New Roman" w:cs="Times New Roman" w:hint="default"/>
          <w:color w:val="auto"/>
          <w:highlight w:val="none"/>
        </w:rPr>
      </w:pPr>
    </w:p>
    <w:p>
      <w:pPr>
        <w:bidi w:val="0"/>
        <w:jc w:val="both"/>
        <w:rPr>
          <w:rFonts w:ascii="Times New Roman" w:eastAsia="宋体" w:hAnsi="Times New Roman" w:cs="Times New Roman" w:hint="default"/>
          <w:color w:val="auto"/>
          <w:highlight w:val="none"/>
        </w:rPr>
      </w:pPr>
    </w:p>
    <w:p>
      <w:pPr>
        <w:bidi w:val="0"/>
        <w:jc w:val="both"/>
        <w:rPr>
          <w:rFonts w:ascii="Times New Roman" w:eastAsia="宋体" w:hAnsi="Times New Roman" w:cs="Times New Roman" w:hint="default"/>
          <w:color w:val="auto"/>
          <w:highlight w:val="none"/>
        </w:rPr>
      </w:pPr>
    </w:p>
    <w:p>
      <w:pPr>
        <w:bidi w:val="0"/>
        <w:jc w:val="both"/>
        <w:rPr>
          <w:rFonts w:ascii="Times New Roman" w:eastAsia="宋体" w:hAnsi="Times New Roman" w:cs="Times New Roman" w:hint="default"/>
          <w:color w:val="auto"/>
          <w:highlight w:val="none"/>
        </w:rPr>
      </w:pPr>
    </w:p>
    <w:p>
      <w:pPr>
        <w:bidi w:val="0"/>
        <w:jc w:val="both"/>
        <w:rPr>
          <w:rFonts w:ascii="Times New Roman" w:eastAsia="宋体" w:hAnsi="Times New Roman" w:cs="Times New Roman" w:hint="default"/>
          <w:b/>
          <w:bCs/>
          <w:color w:val="auto"/>
          <w:highlight w:val="none"/>
        </w:rPr>
      </w:pPr>
    </w:p>
    <w:p>
      <w:pPr>
        <w:bidi w:val="0"/>
        <w:jc w:val="both"/>
        <w:rPr>
          <w:rFonts w:ascii="仿宋_GB2312" w:hAnsi="仿宋_GB2312" w:cs="仿宋_GB2312" w:hint="eastAsia"/>
          <w:b w:val="0"/>
          <w:bCs w:val="0"/>
          <w:color w:val="auto"/>
          <w:highlight w:val="none"/>
          <w:lang w:val="en-US" w:eastAsia="zh-CN"/>
        </w:rPr>
      </w:pPr>
      <w:r>
        <w:rPr>
          <w:rFonts w:ascii="仿宋_GB2312" w:eastAsia="仿宋_GB2312" w:hAnsi="仿宋_GB2312" w:cs="仿宋_GB2312" w:hint="eastAsia"/>
          <w:b w:val="0"/>
          <w:bCs w:val="0"/>
          <w:color w:val="auto"/>
          <w:highlight w:val="none"/>
        </w:rPr>
        <w:t xml:space="preserve">项目名称：</w:t>
      </w:r>
      <w:r>
        <w:rPr>
          <w:rFonts w:ascii="仿宋_GB2312" w:hAnsi="仿宋_GB2312" w:cs="仿宋_GB2312" w:hint="eastAsia"/>
          <w:b w:val="0"/>
          <w:bCs w:val="0"/>
          <w:color w:val="auto"/>
          <w:highlight w:val="none"/>
          <w:lang w:val="en-US" w:eastAsia="zh-CN"/>
        </w:rPr>
        <w:t xml:space="preserve">2024年教育及培训经费（自有资金）</w:t>
      </w:r>
    </w:p>
    <w:p>
      <w:pPr>
        <w:bidi w:val="0"/>
        <w:jc w:val="both"/>
        <w:rPr>
          <w:rFonts w:ascii="仿宋_GB2312" w:eastAsia="仿宋_GB2312" w:hAnsi="仿宋_GB2312" w:cs="仿宋_GB2312" w:hint="default"/>
          <w:b w:val="0"/>
          <w:bCs w:val="0"/>
          <w:color w:val="auto"/>
          <w:highlight w:val="none"/>
          <w:lang w:val="en-US" w:eastAsia="zh-CN"/>
        </w:rPr>
      </w:pPr>
      <w:r>
        <w:rPr>
          <w:rFonts w:ascii="仿宋_GB2312" w:eastAsia="仿宋_GB2312" w:hAnsi="仿宋_GB2312" w:cs="仿宋_GB2312" w:hint="eastAsia"/>
          <w:b w:val="0"/>
          <w:bCs w:val="0"/>
          <w:color w:val="auto"/>
          <w:highlight w:val="none"/>
        </w:rPr>
        <w:t xml:space="preserve">实施单位（公章）：</w:t>
      </w:r>
      <w:r>
        <w:rPr>
          <w:rFonts w:ascii="仿宋_GB2312" w:hAnsi="仿宋_GB2312" w:cs="仿宋_GB2312" w:hint="eastAsia"/>
          <w:b w:val="0"/>
          <w:bCs w:val="0"/>
          <w:color w:val="auto"/>
          <w:highlight w:val="none"/>
          <w:lang w:val="en-US" w:eastAsia="zh-CN"/>
        </w:rPr>
        <w:t xml:space="preserve">尉犁县技工学校</w:t>
      </w:r>
    </w:p>
    <w:p>
      <w:pPr>
        <w:bidi w:val="0"/>
        <w:jc w:val="both"/>
        <w:rPr>
          <w:rFonts w:ascii="仿宋_GB2312" w:eastAsia="仿宋_GB2312" w:hAnsi="仿宋_GB2312" w:cs="仿宋_GB2312" w:hint="default"/>
          <w:b w:val="0"/>
          <w:bCs w:val="0"/>
          <w:color w:val="auto"/>
          <w:highlight w:val="none"/>
          <w:lang w:val="en-US"/>
        </w:rPr>
      </w:pPr>
      <w:r>
        <w:rPr>
          <w:rFonts w:ascii="仿宋_GB2312" w:eastAsia="仿宋_GB2312" w:hAnsi="仿宋_GB2312" w:cs="仿宋_GB2312" w:hint="eastAsia"/>
          <w:b w:val="0"/>
          <w:bCs w:val="0"/>
          <w:color w:val="auto"/>
          <w:highlight w:val="none"/>
        </w:rPr>
        <w:t xml:space="preserve">主管部门（公章）：</w:t>
      </w:r>
      <w:r>
        <w:rPr>
          <w:rFonts w:ascii="仿宋_GB2312" w:hAnsi="仿宋_GB2312" w:cs="仿宋_GB2312" w:hint="eastAsia"/>
          <w:b w:val="0"/>
          <w:bCs w:val="0"/>
          <w:color w:val="auto"/>
          <w:highlight w:val="none"/>
          <w:lang w:val="en-US" w:eastAsia="zh-CN"/>
        </w:rPr>
        <w:t xml:space="preserve">尉犁县人力资源和社会保障局</w:t>
      </w:r>
    </w:p>
    <w:p>
      <w:pPr>
        <w:bidi w:val="0"/>
        <w:jc w:val="both"/>
        <w:rPr>
          <w:rFonts w:ascii="仿宋_GB2312" w:hAnsi="仿宋_GB2312" w:cs="仿宋_GB2312" w:hint="eastAsia"/>
          <w:b w:val="0"/>
          <w:bCs w:val="0"/>
          <w:color w:val="auto"/>
          <w:highlight w:val="none"/>
          <w:lang w:val="en-US" w:eastAsia="zh-CN"/>
        </w:rPr>
      </w:pPr>
      <w:r>
        <w:rPr>
          <w:rFonts w:ascii="仿宋_GB2312" w:eastAsia="仿宋_GB2312" w:hAnsi="仿宋_GB2312" w:cs="仿宋_GB2312" w:hint="eastAsia"/>
          <w:b w:val="0"/>
          <w:bCs w:val="0"/>
          <w:color w:val="auto"/>
          <w:highlight w:val="none"/>
        </w:rPr>
        <w:t xml:space="preserve">项目负责人（签章）：</w:t>
      </w:r>
      <w:r>
        <w:rPr>
          <w:rFonts w:ascii="仿宋_GB2312" w:hAnsi="仿宋_GB2312" w:cs="仿宋_GB2312" w:hint="eastAsia"/>
          <w:b w:val="0"/>
          <w:bCs w:val="0"/>
          <w:color w:val="auto"/>
          <w:highlight w:val="none"/>
          <w:lang w:val="en-US" w:eastAsia="zh-CN"/>
        </w:rPr>
        <w:t xml:space="preserve">王政江</w:t>
      </w:r>
    </w:p>
    <w:p>
      <w:pPr>
        <w:bidi w:val="0"/>
        <w:jc w:val="both"/>
        <w:rPr>
          <w:rFonts w:ascii="仿宋_GB2312" w:eastAsia="仿宋_GB2312" w:hAnsi="仿宋_GB2312" w:cs="仿宋_GB2312" w:hint="eastAsia"/>
          <w:b w:val="0"/>
          <w:bCs w:val="0"/>
          <w:color w:val="auto"/>
          <w:highlight w:val="none"/>
        </w:rPr>
      </w:pPr>
      <w:r>
        <w:rPr>
          <w:rFonts w:ascii="仿宋_GB2312" w:eastAsia="仿宋_GB2312" w:hAnsi="仿宋_GB2312" w:cs="仿宋_GB2312" w:hint="eastAsia"/>
          <w:b w:val="0"/>
          <w:bCs w:val="0"/>
          <w:color w:val="auto"/>
          <w:highlight w:val="none"/>
        </w:rPr>
        <w:t xml:space="preserve">填报时间：</w:t>
      </w:r>
      <w:r>
        <w:rPr>
          <w:rFonts w:ascii="仿宋_GB2312" w:hAnsi="仿宋_GB2312" w:cs="仿宋_GB2312" w:hint="eastAsia"/>
          <w:b w:val="0"/>
          <w:bCs w:val="0"/>
          <w:color w:val="auto"/>
          <w:highlight w:val="none"/>
          <w:lang w:val="en-US" w:eastAsia="zh-CN"/>
        </w:rPr>
        <w:t xml:space="preserve">2025</w:t>
      </w:r>
      <w:r>
        <w:rPr>
          <w:rFonts w:ascii="仿宋_GB2312" w:eastAsia="仿宋_GB2312" w:hAnsi="仿宋_GB2312" w:cs="仿宋_GB2312" w:hint="eastAsia"/>
          <w:b w:val="0"/>
          <w:bCs w:val="0"/>
          <w:color w:val="auto"/>
          <w:highlight w:val="none"/>
        </w:rPr>
        <w:t xml:space="preserve">年</w:t>
      </w:r>
      <w:r>
        <w:rPr>
          <w:rFonts w:ascii="仿宋_GB2312" w:hAnsi="仿宋_GB2312" w:cs="仿宋_GB2312" w:hint="eastAsia"/>
          <w:b w:val="0"/>
          <w:bCs w:val="0"/>
          <w:color w:val="auto"/>
          <w:highlight w:val="none"/>
          <w:lang w:val="en-US" w:eastAsia="zh-CN"/>
        </w:rPr>
        <w:t xml:space="preserve">3</w:t>
      </w:r>
      <w:r>
        <w:rPr>
          <w:rFonts w:ascii="仿宋_GB2312" w:eastAsia="仿宋_GB2312" w:hAnsi="仿宋_GB2312" w:cs="仿宋_GB2312" w:hint="eastAsia"/>
          <w:b w:val="0"/>
          <w:bCs w:val="0"/>
          <w:color w:val="auto"/>
          <w:highlight w:val="none"/>
        </w:rPr>
        <w:t xml:space="preserve">月</w:t>
      </w:r>
      <w:r>
        <w:rPr>
          <w:rFonts w:ascii="仿宋_GB2312" w:hAnsi="仿宋_GB2312" w:cs="仿宋_GB2312" w:hint="eastAsia"/>
          <w:b w:val="0"/>
          <w:bCs w:val="0"/>
          <w:color w:val="auto"/>
          <w:highlight w:val="none"/>
          <w:lang w:val="en-US" w:eastAsia="zh-CN"/>
        </w:rPr>
        <w:t xml:space="preserve">31</w:t>
      </w:r>
      <w:r>
        <w:rPr>
          <w:rFonts w:ascii="仿宋_GB2312" w:eastAsia="仿宋_GB2312" w:hAnsi="仿宋_GB2312" w:cs="仿宋_GB2312" w:hint="eastAsia"/>
          <w:b w:val="0"/>
          <w:bCs w:val="0"/>
          <w:color w:val="auto"/>
          <w:highlight w:val="none"/>
        </w:rPr>
        <w:t xml:space="preserve">日</w:t>
      </w:r>
    </w:p>
    <w:p>
      <w:pPr>
        <w:bidi w:val="0"/>
        <w:jc w:val="both"/>
        <w:rPr>
          <w:rFonts w:ascii="Times New Roman" w:eastAsia="宋体" w:hAnsi="Times New Roman" w:cs="Times New Roman" w:hint="default"/>
          <w:b w:val="0"/>
          <w:bCs w:val="0"/>
          <w:color w:val="auto"/>
          <w:highlight w:val="none"/>
        </w:rPr>
      </w:pPr>
    </w:p>
    <w:p>
      <w:pPr>
        <w:bidi w:val="0"/>
        <w:jc w:val="both"/>
        <w:rPr>
          <w:rFonts w:ascii="Times New Roman" w:eastAsia="宋体" w:hAnsi="Times New Roman" w:cs="Times New Roman" w:hint="default"/>
          <w:b w:val="0"/>
          <w:bCs w:val="0"/>
          <w:color w:val="auto"/>
          <w:highlight w:val="none"/>
        </w:rPr>
        <w:sectPr>
          <w:pgSz w:w="11906" w:h="16838" w:orient="portrait"/>
          <w:pgMar w:top="1440" w:right="1800" w:bottom="1440" w:left="1800" w:header="851" w:footer="992" w:gutter="0"/>
          <w:pgBorders/>
          <w:pgNumType w:start="1"/>
          <w:cols w:num="1" w:space="720">
            <w:col w:w="8306" w:space="720"/>
          </w:cols>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00" w:lineRule="exact"/>
        <w:ind w:left="0" w:firstLine="0" w:leftChars="0" w:firstLineChars="0"/>
        <w:jc w:val="center"/>
        <w:textAlignment w:val="auto"/>
        <w:outlineLvl w:val="0"/>
        <w:rPr>
          <w:rFonts w:ascii="Times New Roman" w:eastAsia="宋体" w:hAnsi="Times New Roman" w:cs="Times New Roman" w:hint="default"/>
          <w:bCs/>
          <w:iCs/>
          <w:color w:val="auto"/>
          <w:kern w:val="2"/>
          <w:sz w:val="32"/>
          <w:szCs w:val="21"/>
          <w:highlight w:val="none"/>
          <w:lang w:val="en-US" w:eastAsia="zh-CN" w:bidi="ar-SA"/>
        </w:rPr>
      </w:pPr>
      <w:bookmarkStart w:id="5" w:name="_Toc10609"/>
      <w:bookmarkStart w:id="6" w:name="_Toc11827"/>
      <w:bookmarkStart w:id="7" w:name="_Toc5473"/>
      <w:bookmarkStart w:id="8" w:name="_Toc15542"/>
      <w:bookmarkStart w:id="9" w:name="_Toc18707"/>
      <w:bookmarkStart w:id="10" w:name="_Toc14721"/>
      <w:bookmarkStart w:id="11" w:name="_Toc1891"/>
      <w:r>
        <w:rPr>
          <w:rFonts w:ascii="Times New Roman" w:eastAsia="宋体" w:hAnsi="Times New Roman" w:cs="Times New Roman" w:hint="default"/>
          <w:bCs/>
          <w:iCs/>
          <w:color w:val="auto"/>
          <w:kern w:val="2"/>
          <w:sz w:val="32"/>
          <w:szCs w:val="21"/>
          <w:highlight w:val="none"/>
          <w:lang w:val="en-US" w:eastAsia="zh-CN" w:bidi="ar-SA"/>
        </w:rPr>
        <w:t xml:space="preserve">目  录</w:t>
      </w:r>
      <w:bookmarkEnd w:id="5"/>
    </w:p>
    <w:p>
      <w:pPr>
        <w:pStyle w:val="WPSOffice手动目录1"/>
        <w:tabs>
          <w:tab w:val="right" w:leader="dot" w:pos="8306"/>
        </w:tabs>
        <w:rPr>
          <w:b/>
          <w:color w:val="auto"/>
          <w:highlight w:val="none"/>
        </w:rPr>
      </w:pPr>
      <w:r>
        <w:rPr>
          <w:color w:val="auto"/>
          <w:highlight w:val="none"/>
        </w:rPr>
        <w:fldChar w:fldCharType="begin"/>
      </w:r>
      <w:r>
        <w:rPr>
          <w:color w:val="auto"/>
          <w:highlight w:val="none"/>
        </w:rPr>
        <w:instrText xml:space="preserve">TOC \o "1-2" \h \u</w:instrText>
      </w:r>
      <w:r>
        <w:rPr>
          <w:color w:val="auto"/>
          <w:highlight w:val="none"/>
        </w:rPr>
        <w:fldChar w:fldCharType="separate"/>
      </w:r>
    </w:p>
    <w:p>
      <w:pPr>
        <w:pStyle w:val="WPSOffice手动目录1"/>
        <w:tabs>
          <w:tab w:val="right" w:leader="dot" w:pos="8306"/>
        </w:tabs>
        <w:rPr>
          <w:b w:val="0"/>
          <w:bCs/>
          <w:color w:val="auto"/>
          <w:sz w:val="32"/>
          <w:szCs w:val="32"/>
          <w:highlight w:val="none"/>
        </w:rPr>
      </w:pPr>
      <w:hyperlink w:anchor="_Toc5638" w:history="1">
        <w:r>
          <w:rPr>
            <w:rFonts w:ascii="Times New Roman" w:eastAsia="黑体" w:hAnsi="Times New Roman" w:cs="Times New Roman" w:hint="default"/>
            <w:b w:val="0"/>
            <w:bCs/>
            <w:iCs/>
            <w:color w:val="auto"/>
            <w:kern w:val="2"/>
            <w:sz w:val="32"/>
            <w:szCs w:val="32"/>
            <w:highlight w:val="none"/>
            <w:lang w:val="en-US" w:eastAsia="zh-CN" w:bidi="ar-SA"/>
          </w:rPr>
          <w:t xml:space="preserve">一、基本情况</w:t>
        </w:r>
        <w:r>
          <w:rPr>
            <w:b w:val="0"/>
            <w:bCs/>
            <w:color w:val="auto"/>
            <w:sz w:val="32"/>
            <w:szCs w:val="32"/>
            <w:highlight w:val="none"/>
          </w:rPr>
          <w:tab/>
        </w:r>
        <w:r>
          <w:rPr>
            <w:b w:val="0"/>
            <w:bCs/>
            <w:color w:val="auto"/>
            <w:sz w:val="32"/>
            <w:szCs w:val="32"/>
            <w:highlight w:val="none"/>
          </w:rPr>
          <w:fldChar w:fldCharType="begin"/>
        </w:r>
        <w:r>
          <w:rPr>
            <w:b w:val="0"/>
            <w:bCs/>
            <w:color w:val="auto"/>
            <w:sz w:val="32"/>
            <w:szCs w:val="32"/>
            <w:highlight w:val="none"/>
          </w:rPr>
          <w:instrText xml:space="preserve"> PAGEREF _Toc5638 \h </w:instrText>
        </w:r>
        <w:r>
          <w:rPr>
            <w:b w:val="0"/>
            <w:bCs/>
            <w:color w:val="auto"/>
            <w:sz w:val="32"/>
            <w:szCs w:val="32"/>
            <w:highlight w:val="none"/>
          </w:rPr>
          <w:fldChar w:fldCharType="separate"/>
        </w:r>
        <w:r>
          <w:rPr>
            <w:b w:val="0"/>
            <w:bCs/>
            <w:color w:val="auto"/>
            <w:sz w:val="32"/>
            <w:szCs w:val="32"/>
            <w:highlight w:val="none"/>
          </w:rPr>
          <w:t xml:space="preserve">1</w:t>
        </w:r>
        <w:r>
          <w:rPr>
            <w:b w:val="0"/>
            <w:bCs/>
            <w:color w:val="auto"/>
            <w:sz w:val="32"/>
            <w:szCs w:val="32"/>
            <w:highlight w:val="none"/>
          </w:rPr>
          <w:fldChar w:fldCharType="end"/>
        </w:r>
      </w:hyperlink>
    </w:p>
    <w:p>
      <w:pPr>
        <w:pStyle w:val="WPSOffice手动目录2"/>
        <w:tabs>
          <w:tab w:val="right" w:leader="dot" w:pos="8306"/>
        </w:tabs>
        <w:rPr>
          <w:color w:val="auto"/>
          <w:sz w:val="32"/>
          <w:szCs w:val="32"/>
          <w:highlight w:val="none"/>
        </w:rPr>
      </w:pPr>
      <w:hyperlink w:anchor="_Toc1408" w:history="1">
        <w:r>
          <w:rPr>
            <w:rFonts w:ascii="Times New Roman" w:eastAsia="楷体" w:hAnsi="Times New Roman" w:cs="Times New Roman" w:hint="default"/>
            <w:color w:val="auto"/>
            <w:sz w:val="32"/>
            <w:szCs w:val="32"/>
            <w:highlight w:val="none"/>
          </w:rPr>
          <w:t xml:space="preserve">（一）项目概况</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_Toc1408 \h </w:instrText>
        </w:r>
        <w:r>
          <w:rPr>
            <w:color w:val="auto"/>
            <w:sz w:val="32"/>
            <w:szCs w:val="32"/>
            <w:highlight w:val="none"/>
          </w:rPr>
          <w:fldChar w:fldCharType="separate"/>
        </w:r>
        <w:r>
          <w:rPr>
            <w:color w:val="auto"/>
            <w:sz w:val="32"/>
            <w:szCs w:val="32"/>
            <w:highlight w:val="none"/>
          </w:rPr>
          <w:t xml:space="preserve">1</w:t>
        </w:r>
        <w:r>
          <w:rPr>
            <w:color w:val="auto"/>
            <w:sz w:val="32"/>
            <w:szCs w:val="32"/>
            <w:highlight w:val="none"/>
          </w:rPr>
          <w:fldChar w:fldCharType="end"/>
        </w:r>
      </w:hyperlink>
    </w:p>
    <w:p>
      <w:pPr>
        <w:pStyle w:val="WPSOffice手动目录2"/>
        <w:tabs>
          <w:tab w:val="right" w:leader="dot" w:pos="8306"/>
        </w:tabs>
        <w:rPr>
          <w:color w:val="auto"/>
          <w:sz w:val="32"/>
          <w:szCs w:val="32"/>
          <w:highlight w:val="none"/>
        </w:rPr>
      </w:pPr>
      <w:hyperlink w:anchor="_Toc17234" w:history="1">
        <w:r>
          <w:rPr>
            <w:rFonts w:ascii="Times New Roman" w:eastAsia="楷体" w:hAnsi="Times New Roman" w:cs="Times New Roman" w:hint="default"/>
            <w:color w:val="auto"/>
            <w:sz w:val="32"/>
            <w:szCs w:val="32"/>
            <w:highlight w:val="none"/>
          </w:rPr>
          <w:t xml:space="preserve">（二）项目绩效目标</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_Toc17234 \h </w:instrText>
        </w:r>
        <w:r>
          <w:rPr>
            <w:color w:val="auto"/>
            <w:sz w:val="32"/>
            <w:szCs w:val="32"/>
            <w:highlight w:val="none"/>
          </w:rPr>
          <w:fldChar w:fldCharType="separate"/>
        </w:r>
        <w:r>
          <w:rPr>
            <w:color w:val="auto"/>
            <w:sz w:val="32"/>
            <w:szCs w:val="32"/>
            <w:highlight w:val="none"/>
          </w:rPr>
          <w:t xml:space="preserve">4</w:t>
        </w:r>
        <w:r>
          <w:rPr>
            <w:color w:val="auto"/>
            <w:sz w:val="32"/>
            <w:szCs w:val="32"/>
            <w:highlight w:val="none"/>
          </w:rPr>
          <w:fldChar w:fldCharType="end"/>
        </w:r>
      </w:hyperlink>
    </w:p>
    <w:p>
      <w:pPr>
        <w:pStyle w:val="WPSOffice手动目录2"/>
        <w:tabs>
          <w:tab w:val="right" w:leader="dot" w:pos="8306"/>
        </w:tabs>
        <w:ind w:left="0" w:firstLine="0" w:leftChars="0" w:firstLineChars="0"/>
        <w:rPr>
          <w:color w:val="auto"/>
          <w:sz w:val="32"/>
          <w:szCs w:val="32"/>
          <w:highlight w:val="none"/>
        </w:rPr>
      </w:pPr>
      <w:hyperlink w:anchor="_Toc8522" w:history="1">
        <w:r>
          <w:rPr>
            <w:rFonts w:ascii="Times New Roman" w:eastAsia="黑体" w:hAnsi="Times New Roman" w:cs="Times New Roman" w:hint="default"/>
            <w:color w:val="auto"/>
            <w:sz w:val="32"/>
            <w:szCs w:val="32"/>
            <w:highlight w:val="none"/>
          </w:rPr>
          <w:t xml:space="preserve">二、绩效评价工作开展情况</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_Toc8522 \h </w:instrText>
        </w:r>
        <w:r>
          <w:rPr>
            <w:color w:val="auto"/>
            <w:sz w:val="32"/>
            <w:szCs w:val="32"/>
            <w:highlight w:val="none"/>
          </w:rPr>
          <w:fldChar w:fldCharType="separate"/>
        </w:r>
        <w:r>
          <w:rPr>
            <w:color w:val="auto"/>
            <w:sz w:val="32"/>
            <w:szCs w:val="32"/>
            <w:highlight w:val="none"/>
          </w:rPr>
          <w:t xml:space="preserve">5</w:t>
        </w:r>
        <w:r>
          <w:rPr>
            <w:color w:val="auto"/>
            <w:sz w:val="32"/>
            <w:szCs w:val="32"/>
            <w:highlight w:val="none"/>
          </w:rPr>
          <w:fldChar w:fldCharType="end"/>
        </w:r>
      </w:hyperlink>
    </w:p>
    <w:p>
      <w:pPr>
        <w:pStyle w:val="WPSOffice手动目录2"/>
        <w:tabs>
          <w:tab w:val="right" w:leader="dot" w:pos="8306"/>
        </w:tabs>
        <w:rPr>
          <w:color w:val="auto"/>
          <w:sz w:val="32"/>
          <w:szCs w:val="32"/>
          <w:highlight w:val="none"/>
        </w:rPr>
      </w:pPr>
      <w:hyperlink w:anchor="_Toc19597" w:history="1">
        <w:r>
          <w:rPr>
            <w:rFonts w:ascii="Times New Roman" w:eastAsia="楷体" w:hAnsi="Times New Roman" w:cs="Times New Roman" w:hint="default"/>
            <w:color w:val="auto"/>
            <w:sz w:val="32"/>
            <w:szCs w:val="32"/>
            <w:highlight w:val="none"/>
          </w:rPr>
          <w:t xml:space="preserve">（一）绩效评价目的、对象和范围</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_Toc19597 \h </w:instrText>
        </w:r>
        <w:r>
          <w:rPr>
            <w:color w:val="auto"/>
            <w:sz w:val="32"/>
            <w:szCs w:val="32"/>
            <w:highlight w:val="none"/>
          </w:rPr>
          <w:fldChar w:fldCharType="separate"/>
        </w:r>
        <w:r>
          <w:rPr>
            <w:color w:val="auto"/>
            <w:sz w:val="32"/>
            <w:szCs w:val="32"/>
            <w:highlight w:val="none"/>
          </w:rPr>
          <w:t xml:space="preserve">5</w:t>
        </w:r>
        <w:r>
          <w:rPr>
            <w:color w:val="auto"/>
            <w:sz w:val="32"/>
            <w:szCs w:val="32"/>
            <w:highlight w:val="none"/>
          </w:rPr>
          <w:fldChar w:fldCharType="end"/>
        </w:r>
      </w:hyperlink>
    </w:p>
    <w:p>
      <w:pPr>
        <w:pStyle w:val="WPSOffice手动目录2"/>
        <w:tabs>
          <w:tab w:val="right" w:leader="dot" w:pos="8306"/>
        </w:tabs>
        <w:rPr>
          <w:color w:val="auto"/>
          <w:sz w:val="32"/>
          <w:szCs w:val="32"/>
          <w:highlight w:val="none"/>
        </w:rPr>
      </w:pPr>
      <w:hyperlink w:anchor="_Toc6384" w:history="1">
        <w:r>
          <w:rPr>
            <w:rFonts w:ascii="楷体" w:eastAsia="楷体" w:hAnsi="楷体" w:cs="楷体" w:hint="eastAsia"/>
            <w:color w:val="auto"/>
            <w:sz w:val="32"/>
            <w:szCs w:val="32"/>
            <w:highlight w:val="none"/>
          </w:rPr>
          <w:t xml:space="preserve">（二）绩效评价原则、评价指标体系、评价方法、评价标准</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_Toc6384 \h </w:instrText>
        </w:r>
        <w:r>
          <w:rPr>
            <w:color w:val="auto"/>
            <w:sz w:val="32"/>
            <w:szCs w:val="32"/>
            <w:highlight w:val="none"/>
          </w:rPr>
          <w:fldChar w:fldCharType="separate"/>
        </w:r>
        <w:r>
          <w:rPr>
            <w:color w:val="auto"/>
            <w:sz w:val="32"/>
            <w:szCs w:val="32"/>
            <w:highlight w:val="none"/>
          </w:rPr>
          <w:t xml:space="preserve">7</w:t>
        </w:r>
        <w:r>
          <w:rPr>
            <w:color w:val="auto"/>
            <w:sz w:val="32"/>
            <w:szCs w:val="32"/>
            <w:highlight w:val="none"/>
          </w:rPr>
          <w:fldChar w:fldCharType="end"/>
        </w:r>
      </w:hyperlink>
    </w:p>
    <w:p>
      <w:pPr>
        <w:pStyle w:val="WPSOffice手动目录2"/>
        <w:tabs>
          <w:tab w:val="right" w:leader="dot" w:pos="8306"/>
        </w:tabs>
        <w:rPr>
          <w:color w:val="auto"/>
          <w:sz w:val="32"/>
          <w:szCs w:val="32"/>
          <w:highlight w:val="none"/>
        </w:rPr>
      </w:pPr>
      <w:hyperlink w:anchor="_Toc12336" w:history="1">
        <w:r>
          <w:rPr>
            <w:rFonts w:ascii="楷体" w:eastAsia="楷体" w:hAnsi="楷体" w:cs="楷体" w:hint="eastAsia"/>
            <w:color w:val="auto"/>
            <w:sz w:val="32"/>
            <w:szCs w:val="32"/>
            <w:highlight w:val="none"/>
          </w:rPr>
          <w:t xml:space="preserve">（三）绩效评价工作过程</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_Toc12336 \h </w:instrText>
        </w:r>
        <w:r>
          <w:rPr>
            <w:color w:val="auto"/>
            <w:sz w:val="32"/>
            <w:szCs w:val="32"/>
            <w:highlight w:val="none"/>
          </w:rPr>
          <w:fldChar w:fldCharType="separate"/>
        </w:r>
        <w:r>
          <w:rPr>
            <w:color w:val="auto"/>
            <w:sz w:val="32"/>
            <w:szCs w:val="32"/>
            <w:highlight w:val="none"/>
          </w:rPr>
          <w:t xml:space="preserve">10</w:t>
        </w:r>
        <w:r>
          <w:rPr>
            <w:color w:val="auto"/>
            <w:sz w:val="32"/>
            <w:szCs w:val="32"/>
            <w:highlight w:val="none"/>
          </w:rPr>
          <w:fldChar w:fldCharType="end"/>
        </w:r>
      </w:hyperlink>
    </w:p>
    <w:p>
      <w:pPr>
        <w:pStyle w:val="WPSOffice手动目录2"/>
        <w:tabs>
          <w:tab w:val="right" w:leader="dot" w:pos="8306"/>
        </w:tabs>
        <w:ind w:left="0" w:firstLine="0" w:leftChars="0" w:firstLineChars="0"/>
        <w:rPr>
          <w:color w:val="auto"/>
          <w:sz w:val="32"/>
          <w:szCs w:val="32"/>
          <w:highlight w:val="none"/>
        </w:rPr>
      </w:pPr>
      <w:hyperlink w:anchor="_Toc101" w:history="1">
        <w:r>
          <w:rPr>
            <w:rFonts w:ascii="黑体" w:eastAsia="黑体" w:hAnsi="黑体" w:cs="黑体" w:hint="eastAsia"/>
            <w:color w:val="auto"/>
            <w:sz w:val="32"/>
            <w:szCs w:val="32"/>
            <w:highlight w:val="none"/>
          </w:rPr>
          <w:t xml:space="preserve">三、综合评价情况及评价结论</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_Toc101 \h </w:instrText>
        </w:r>
        <w:r>
          <w:rPr>
            <w:color w:val="auto"/>
            <w:sz w:val="32"/>
            <w:szCs w:val="32"/>
            <w:highlight w:val="none"/>
          </w:rPr>
          <w:fldChar w:fldCharType="separate"/>
        </w:r>
        <w:r>
          <w:rPr>
            <w:color w:val="auto"/>
            <w:sz w:val="32"/>
            <w:szCs w:val="32"/>
            <w:highlight w:val="none"/>
          </w:rPr>
          <w:t xml:space="preserve">12</w:t>
        </w:r>
        <w:r>
          <w:rPr>
            <w:color w:val="auto"/>
            <w:sz w:val="32"/>
            <w:szCs w:val="32"/>
            <w:highlight w:val="none"/>
          </w:rPr>
          <w:fldChar w:fldCharType="end"/>
        </w:r>
      </w:hyperlink>
    </w:p>
    <w:p>
      <w:pPr>
        <w:pStyle w:val="WPSOffice手动目录2"/>
        <w:tabs>
          <w:tab w:val="right" w:leader="dot" w:pos="8306"/>
        </w:tabs>
        <w:ind w:left="0" w:firstLine="0" w:leftChars="0" w:firstLineChars="0"/>
        <w:rPr>
          <w:color w:val="auto"/>
          <w:sz w:val="32"/>
          <w:szCs w:val="32"/>
          <w:highlight w:val="none"/>
        </w:rPr>
      </w:pPr>
      <w:hyperlink w:anchor="_Toc31495" w:history="1">
        <w:r>
          <w:rPr>
            <w:rFonts w:ascii="黑体" w:eastAsia="黑体" w:hAnsi="黑体" w:cs="黑体" w:hint="eastAsia"/>
            <w:color w:val="auto"/>
            <w:sz w:val="32"/>
            <w:szCs w:val="32"/>
            <w:highlight w:val="none"/>
          </w:rPr>
          <w:t xml:space="preserve">四、绩效评价指标分析</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_Toc31495 \h </w:instrText>
        </w:r>
        <w:r>
          <w:rPr>
            <w:color w:val="auto"/>
            <w:sz w:val="32"/>
            <w:szCs w:val="32"/>
            <w:highlight w:val="none"/>
          </w:rPr>
          <w:fldChar w:fldCharType="separate"/>
        </w:r>
        <w:r>
          <w:rPr>
            <w:color w:val="auto"/>
            <w:sz w:val="32"/>
            <w:szCs w:val="32"/>
            <w:highlight w:val="none"/>
          </w:rPr>
          <w:t xml:space="preserve">13</w:t>
        </w:r>
        <w:r>
          <w:rPr>
            <w:color w:val="auto"/>
            <w:sz w:val="32"/>
            <w:szCs w:val="32"/>
            <w:highlight w:val="none"/>
          </w:rPr>
          <w:fldChar w:fldCharType="end"/>
        </w:r>
      </w:hyperlink>
    </w:p>
    <w:p>
      <w:pPr>
        <w:pStyle w:val="WPSOffice手动目录2"/>
        <w:tabs>
          <w:tab w:val="right" w:leader="dot" w:pos="8306"/>
        </w:tabs>
        <w:rPr>
          <w:color w:val="auto"/>
          <w:sz w:val="32"/>
          <w:szCs w:val="32"/>
          <w:highlight w:val="none"/>
        </w:rPr>
      </w:pPr>
      <w:hyperlink w:anchor="_Toc2981" w:history="1">
        <w:r>
          <w:rPr>
            <w:rFonts w:ascii="楷体" w:eastAsia="楷体" w:hAnsi="楷体" w:cs="楷体" w:hint="eastAsia"/>
            <w:color w:val="auto"/>
            <w:sz w:val="32"/>
            <w:szCs w:val="32"/>
            <w:highlight w:val="none"/>
          </w:rPr>
          <w:t xml:space="preserve">（一）项目决策情况</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_Toc2981 \h </w:instrText>
        </w:r>
        <w:r>
          <w:rPr>
            <w:color w:val="auto"/>
            <w:sz w:val="32"/>
            <w:szCs w:val="32"/>
            <w:highlight w:val="none"/>
          </w:rPr>
          <w:fldChar w:fldCharType="separate"/>
        </w:r>
        <w:r>
          <w:rPr>
            <w:color w:val="auto"/>
            <w:sz w:val="32"/>
            <w:szCs w:val="32"/>
            <w:highlight w:val="none"/>
          </w:rPr>
          <w:t xml:space="preserve">13</w:t>
        </w:r>
        <w:r>
          <w:rPr>
            <w:color w:val="auto"/>
            <w:sz w:val="32"/>
            <w:szCs w:val="32"/>
            <w:highlight w:val="none"/>
          </w:rPr>
          <w:fldChar w:fldCharType="end"/>
        </w:r>
      </w:hyperlink>
    </w:p>
    <w:p>
      <w:pPr>
        <w:pStyle w:val="WPSOffice手动目录2"/>
        <w:tabs>
          <w:tab w:val="right" w:leader="dot" w:pos="8306"/>
        </w:tabs>
        <w:rPr>
          <w:color w:val="auto"/>
          <w:sz w:val="32"/>
          <w:szCs w:val="32"/>
          <w:highlight w:val="none"/>
        </w:rPr>
      </w:pPr>
      <w:hyperlink w:anchor="_Toc10636" w:history="1">
        <w:r>
          <w:rPr>
            <w:rFonts w:ascii="楷体" w:eastAsia="楷体" w:hAnsi="楷体" w:cs="楷体" w:hint="eastAsia"/>
            <w:color w:val="auto"/>
            <w:sz w:val="32"/>
            <w:szCs w:val="32"/>
            <w:highlight w:val="none"/>
          </w:rPr>
          <w:t xml:space="preserve">（二）项目过程情况</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_Toc10636 \h </w:instrText>
        </w:r>
        <w:r>
          <w:rPr>
            <w:color w:val="auto"/>
            <w:sz w:val="32"/>
            <w:szCs w:val="32"/>
            <w:highlight w:val="none"/>
          </w:rPr>
          <w:fldChar w:fldCharType="separate"/>
        </w:r>
        <w:r>
          <w:rPr>
            <w:color w:val="auto"/>
            <w:sz w:val="32"/>
            <w:szCs w:val="32"/>
            <w:highlight w:val="none"/>
          </w:rPr>
          <w:t xml:space="preserve">15</w:t>
        </w:r>
        <w:r>
          <w:rPr>
            <w:color w:val="auto"/>
            <w:sz w:val="32"/>
            <w:szCs w:val="32"/>
            <w:highlight w:val="none"/>
          </w:rPr>
          <w:fldChar w:fldCharType="end"/>
        </w:r>
      </w:hyperlink>
    </w:p>
    <w:p>
      <w:pPr>
        <w:pStyle w:val="WPSOffice手动目录2"/>
        <w:tabs>
          <w:tab w:val="right" w:leader="dot" w:pos="8306"/>
        </w:tabs>
        <w:rPr>
          <w:color w:val="auto"/>
          <w:sz w:val="32"/>
          <w:szCs w:val="32"/>
          <w:highlight w:val="none"/>
        </w:rPr>
      </w:pPr>
      <w:hyperlink w:anchor="_Toc15423" w:history="1">
        <w:r>
          <w:rPr>
            <w:rFonts w:ascii="楷体" w:eastAsia="楷体" w:hAnsi="楷体" w:cs="楷体" w:hint="eastAsia"/>
            <w:color w:val="auto"/>
            <w:sz w:val="32"/>
            <w:szCs w:val="32"/>
            <w:highlight w:val="none"/>
          </w:rPr>
          <w:t xml:space="preserve">（三）项目产出情况</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_Toc15423 \h </w:instrText>
        </w:r>
        <w:r>
          <w:rPr>
            <w:color w:val="auto"/>
            <w:sz w:val="32"/>
            <w:szCs w:val="32"/>
            <w:highlight w:val="none"/>
          </w:rPr>
          <w:fldChar w:fldCharType="separate"/>
        </w:r>
        <w:r>
          <w:rPr>
            <w:color w:val="auto"/>
            <w:sz w:val="32"/>
            <w:szCs w:val="32"/>
            <w:highlight w:val="none"/>
          </w:rPr>
          <w:t xml:space="preserve">17</w:t>
        </w:r>
        <w:r>
          <w:rPr>
            <w:color w:val="auto"/>
            <w:sz w:val="32"/>
            <w:szCs w:val="32"/>
            <w:highlight w:val="none"/>
          </w:rPr>
          <w:fldChar w:fldCharType="end"/>
        </w:r>
      </w:hyperlink>
    </w:p>
    <w:p>
      <w:pPr>
        <w:pStyle w:val="WPSOffice手动目录2"/>
        <w:tabs>
          <w:tab w:val="right" w:leader="dot" w:pos="8306"/>
        </w:tabs>
        <w:rPr>
          <w:color w:val="auto"/>
          <w:sz w:val="32"/>
          <w:szCs w:val="32"/>
          <w:highlight w:val="none"/>
        </w:rPr>
      </w:pPr>
      <w:hyperlink w:anchor="_Toc27619" w:history="1">
        <w:r>
          <w:rPr>
            <w:rFonts w:ascii="楷体" w:eastAsia="楷体" w:hAnsi="楷体" w:cs="楷体" w:hint="eastAsia"/>
            <w:color w:val="auto"/>
            <w:sz w:val="32"/>
            <w:szCs w:val="32"/>
            <w:highlight w:val="none"/>
          </w:rPr>
          <w:t xml:space="preserve">（四）项目效益情况</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_Toc27619 \h </w:instrText>
        </w:r>
        <w:r>
          <w:rPr>
            <w:color w:val="auto"/>
            <w:sz w:val="32"/>
            <w:szCs w:val="32"/>
            <w:highlight w:val="none"/>
          </w:rPr>
          <w:fldChar w:fldCharType="separate"/>
        </w:r>
        <w:r>
          <w:rPr>
            <w:color w:val="auto"/>
            <w:sz w:val="32"/>
            <w:szCs w:val="32"/>
            <w:highlight w:val="none"/>
          </w:rPr>
          <w:t xml:space="preserve">18</w:t>
        </w:r>
        <w:r>
          <w:rPr>
            <w:color w:val="auto"/>
            <w:sz w:val="32"/>
            <w:szCs w:val="32"/>
            <w:highlight w:val="none"/>
          </w:rPr>
          <w:fldChar w:fldCharType="end"/>
        </w:r>
      </w:hyperlink>
    </w:p>
    <w:p>
      <w:pPr>
        <w:pStyle w:val="WPSOffice手动目录2"/>
        <w:tabs>
          <w:tab w:val="right" w:leader="dot" w:pos="8306"/>
        </w:tabs>
        <w:ind w:left="0" w:firstLine="0" w:leftChars="0" w:firstLineChars="0"/>
        <w:rPr>
          <w:color w:val="auto"/>
          <w:sz w:val="32"/>
          <w:szCs w:val="32"/>
          <w:highlight w:val="none"/>
        </w:rPr>
      </w:pPr>
      <w:hyperlink w:anchor="_Toc24305" w:history="1">
        <w:r>
          <w:rPr>
            <w:rFonts w:ascii="黑体" w:eastAsia="黑体" w:hAnsi="黑体" w:cs="黑体" w:hint="eastAsia"/>
            <w:color w:val="auto"/>
            <w:sz w:val="32"/>
            <w:szCs w:val="32"/>
            <w:highlight w:val="none"/>
          </w:rPr>
          <w:t xml:space="preserve">五、主要经验及做法、存在的问题及原因分析</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_Toc24305 \h </w:instrText>
        </w:r>
        <w:r>
          <w:rPr>
            <w:color w:val="auto"/>
            <w:sz w:val="32"/>
            <w:szCs w:val="32"/>
            <w:highlight w:val="none"/>
          </w:rPr>
          <w:fldChar w:fldCharType="separate"/>
        </w:r>
        <w:r>
          <w:rPr>
            <w:color w:val="auto"/>
            <w:sz w:val="32"/>
            <w:szCs w:val="32"/>
            <w:highlight w:val="none"/>
          </w:rPr>
          <w:t xml:space="preserve">18</w:t>
        </w:r>
        <w:r>
          <w:rPr>
            <w:color w:val="auto"/>
            <w:sz w:val="32"/>
            <w:szCs w:val="32"/>
            <w:highlight w:val="none"/>
          </w:rPr>
          <w:fldChar w:fldCharType="end"/>
        </w:r>
      </w:hyperlink>
    </w:p>
    <w:p>
      <w:pPr>
        <w:pStyle w:val="WPSOffice手动目录2"/>
        <w:tabs>
          <w:tab w:val="right" w:leader="dot" w:pos="8306"/>
        </w:tabs>
        <w:rPr>
          <w:color w:val="auto"/>
          <w:sz w:val="32"/>
          <w:szCs w:val="32"/>
          <w:highlight w:val="none"/>
        </w:rPr>
      </w:pPr>
      <w:hyperlink w:anchor="_Toc5192" w:history="1">
        <w:r>
          <w:rPr>
            <w:rFonts w:ascii="楷体" w:eastAsia="楷体" w:hAnsi="楷体" w:cs="楷体" w:hint="eastAsia"/>
            <w:color w:val="auto"/>
            <w:sz w:val="32"/>
            <w:szCs w:val="32"/>
            <w:highlight w:val="none"/>
          </w:rPr>
          <w:t xml:space="preserve">（一）主要经验及做法</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_Toc5192 \h </w:instrText>
        </w:r>
        <w:r>
          <w:rPr>
            <w:color w:val="auto"/>
            <w:sz w:val="32"/>
            <w:szCs w:val="32"/>
            <w:highlight w:val="none"/>
          </w:rPr>
          <w:fldChar w:fldCharType="separate"/>
        </w:r>
        <w:r>
          <w:rPr>
            <w:color w:val="auto"/>
            <w:sz w:val="32"/>
            <w:szCs w:val="32"/>
            <w:highlight w:val="none"/>
          </w:rPr>
          <w:t xml:space="preserve">18</w:t>
        </w:r>
        <w:r>
          <w:rPr>
            <w:color w:val="auto"/>
            <w:sz w:val="32"/>
            <w:szCs w:val="32"/>
            <w:highlight w:val="none"/>
          </w:rPr>
          <w:fldChar w:fldCharType="end"/>
        </w:r>
      </w:hyperlink>
    </w:p>
    <w:p>
      <w:pPr>
        <w:pStyle w:val="WPSOffice手动目录2"/>
        <w:tabs>
          <w:tab w:val="right" w:leader="dot" w:pos="8306"/>
        </w:tabs>
        <w:rPr>
          <w:color w:val="auto"/>
          <w:sz w:val="32"/>
          <w:szCs w:val="32"/>
          <w:highlight w:val="none"/>
        </w:rPr>
      </w:pPr>
      <w:hyperlink w:anchor="_Toc19312" w:history="1">
        <w:r>
          <w:rPr>
            <w:rFonts w:ascii="楷体" w:eastAsia="楷体" w:hAnsi="楷体" w:cs="楷体" w:hint="eastAsia"/>
            <w:color w:val="auto"/>
            <w:sz w:val="32"/>
            <w:szCs w:val="32"/>
            <w:highlight w:val="none"/>
          </w:rPr>
          <w:t xml:space="preserve">（二）存在的问题及分析</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_Toc19312 \h </w:instrText>
        </w:r>
        <w:r>
          <w:rPr>
            <w:color w:val="auto"/>
            <w:sz w:val="32"/>
            <w:szCs w:val="32"/>
            <w:highlight w:val="none"/>
          </w:rPr>
          <w:fldChar w:fldCharType="separate"/>
        </w:r>
        <w:r>
          <w:rPr>
            <w:color w:val="auto"/>
            <w:sz w:val="32"/>
            <w:szCs w:val="32"/>
            <w:highlight w:val="none"/>
          </w:rPr>
          <w:t xml:space="preserve">19</w:t>
        </w:r>
        <w:r>
          <w:rPr>
            <w:color w:val="auto"/>
            <w:sz w:val="32"/>
            <w:szCs w:val="32"/>
            <w:highlight w:val="none"/>
          </w:rPr>
          <w:fldChar w:fldCharType="end"/>
        </w:r>
      </w:hyperlink>
    </w:p>
    <w:p>
      <w:pPr>
        <w:pStyle w:val="WPSOffice手动目录2"/>
        <w:tabs>
          <w:tab w:val="right" w:leader="dot" w:pos="8306"/>
        </w:tabs>
        <w:ind w:left="0" w:firstLine="0" w:leftChars="0" w:firstLineChars="0"/>
        <w:rPr>
          <w:color w:val="auto"/>
          <w:sz w:val="32"/>
          <w:szCs w:val="32"/>
          <w:highlight w:val="none"/>
        </w:rPr>
      </w:pPr>
      <w:hyperlink w:anchor="_Toc22624" w:history="1">
        <w:r>
          <w:rPr>
            <w:rFonts w:ascii="黑体" w:eastAsia="黑体" w:hAnsi="黑体" w:cs="黑体" w:hint="eastAsia"/>
            <w:color w:val="auto"/>
            <w:sz w:val="32"/>
            <w:szCs w:val="32"/>
            <w:highlight w:val="none"/>
          </w:rPr>
          <w:t xml:space="preserve">六、有关建议</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_Toc22624 \h </w:instrText>
        </w:r>
        <w:r>
          <w:rPr>
            <w:color w:val="auto"/>
            <w:sz w:val="32"/>
            <w:szCs w:val="32"/>
            <w:highlight w:val="none"/>
          </w:rPr>
          <w:fldChar w:fldCharType="separate"/>
        </w:r>
        <w:r>
          <w:rPr>
            <w:color w:val="auto"/>
            <w:sz w:val="32"/>
            <w:szCs w:val="32"/>
            <w:highlight w:val="none"/>
          </w:rPr>
          <w:t xml:space="preserve">20</w:t>
        </w:r>
        <w:r>
          <w:rPr>
            <w:color w:val="auto"/>
            <w:sz w:val="32"/>
            <w:szCs w:val="32"/>
            <w:highlight w:val="none"/>
          </w:rPr>
          <w:fldChar w:fldCharType="end"/>
        </w:r>
      </w:hyperlink>
    </w:p>
    <w:p>
      <w:pPr>
        <w:pStyle w:val="WPSOffice手动目录2"/>
        <w:tabs>
          <w:tab w:val="right" w:leader="dot" w:pos="8306"/>
        </w:tabs>
        <w:ind w:left="0" w:firstLine="0" w:leftChars="0" w:firstLineChars="0"/>
        <w:rPr>
          <w:color w:val="auto"/>
          <w:sz w:val="32"/>
          <w:szCs w:val="32"/>
          <w:highlight w:val="none"/>
        </w:rPr>
      </w:pPr>
      <w:hyperlink w:anchor="_Toc12935" w:history="1">
        <w:r>
          <w:rPr>
            <w:rFonts w:ascii="黑体" w:eastAsia="黑体" w:hAnsi="黑体" w:cs="黑体" w:hint="default"/>
            <w:bCs/>
            <w:iCs/>
            <w:color w:val="auto"/>
            <w:sz w:val="32"/>
            <w:szCs w:val="32"/>
            <w:highlight w:val="none"/>
          </w:rPr>
          <w:t xml:space="preserve">七、其他需要说明的问题</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_Toc12935 \h </w:instrText>
        </w:r>
        <w:r>
          <w:rPr>
            <w:color w:val="auto"/>
            <w:sz w:val="32"/>
            <w:szCs w:val="32"/>
            <w:highlight w:val="none"/>
          </w:rPr>
          <w:fldChar w:fldCharType="separate"/>
        </w:r>
        <w:r>
          <w:rPr>
            <w:color w:val="auto"/>
            <w:sz w:val="32"/>
            <w:szCs w:val="32"/>
            <w:highlight w:val="none"/>
          </w:rPr>
          <w:t xml:space="preserve">21</w:t>
        </w:r>
        <w:r>
          <w:rPr>
            <w:color w:val="auto"/>
            <w:sz w:val="32"/>
            <w:szCs w:val="32"/>
            <w:highlight w:val="none"/>
          </w:rPr>
          <w:fldChar w:fldCharType="end"/>
        </w:r>
      </w:hyperlink>
    </w:p>
    <w:p>
      <w:pPr>
        <w:pStyle w:val="WPSOffice手动目录2"/>
        <w:tabs>
          <w:tab w:val="right" w:leader="dot" w:pos="8306"/>
        </w:tabs>
        <w:ind w:left="0" w:firstLine="0" w:leftChars="0" w:firstLineChars="0"/>
        <w:rPr>
          <w:b/>
          <w:color w:val="auto"/>
          <w:sz w:val="32"/>
          <w:szCs w:val="32"/>
          <w:highlight w:val="none"/>
        </w:rPr>
      </w:pPr>
      <w:hyperlink w:anchor="_Toc6302" w:history="1">
        <w:r>
          <w:rPr>
            <w:rFonts w:ascii="黑体" w:eastAsia="黑体" w:hAnsi="黑体" w:cs="黑体" w:hint="default"/>
            <w:bCs/>
            <w:iCs/>
            <w:color w:val="auto"/>
            <w:sz w:val="32"/>
            <w:szCs w:val="32"/>
            <w:highlight w:val="none"/>
          </w:rPr>
          <w:t xml:space="preserve">八、附件</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_Toc6302 \h </w:instrText>
        </w:r>
        <w:r>
          <w:rPr>
            <w:color w:val="auto"/>
            <w:sz w:val="32"/>
            <w:szCs w:val="32"/>
            <w:highlight w:val="none"/>
          </w:rPr>
          <w:fldChar w:fldCharType="separate"/>
        </w:r>
        <w:r>
          <w:rPr>
            <w:color w:val="auto"/>
            <w:sz w:val="32"/>
            <w:szCs w:val="32"/>
            <w:highlight w:val="none"/>
          </w:rPr>
          <w:t xml:space="preserve">21</w:t>
        </w:r>
        <w:r>
          <w:rPr>
            <w:color w:val="auto"/>
            <w:sz w:val="32"/>
            <w:szCs w:val="32"/>
            <w:highlight w:val="none"/>
          </w:rPr>
          <w:fldChar w:fldCharType="end"/>
        </w:r>
      </w:hyperlink>
    </w:p>
    <w:p>
      <w:pPr>
        <w:rPr>
          <w:color w:val="auto"/>
          <w:highlight w:val="none"/>
        </w:rPr>
      </w:pPr>
      <w:r>
        <w:rPr>
          <w:b/>
          <w:color w:val="auto"/>
          <w:highlight w:val="none"/>
        </w:rPr>
        <w:fldChar w:fldCharType="end"/>
      </w: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outlineLvl w:val="0"/>
        <w:rPr>
          <w:rFonts w:ascii="Times New Roman" w:eastAsia="黑体" w:hAnsi="Times New Roman" w:cs="Times New Roman" w:hint="default"/>
          <w:bCs/>
          <w:iCs/>
          <w:color w:val="auto"/>
          <w:kern w:val="2"/>
          <w:sz w:val="32"/>
          <w:szCs w:val="21"/>
          <w:highlight w:val="none"/>
          <w:lang w:val="en-US" w:eastAsia="zh-CN" w:bidi="ar-SA"/>
        </w:rPr>
        <w:sectPr>
          <w:footerReference w:type="default" r:id="rId3"/>
          <w:pgSz w:w="11906" w:h="16838" w:orient="portrait"/>
          <w:pgMar w:top="1440" w:right="1800" w:bottom="1440" w:left="1800" w:header="851" w:footer="992" w:gutter="0"/>
          <w:pgBorders/>
          <w:pgNumType w:fmt="decimal"/>
          <w:cols w:num="1" w:space="720">
            <w:col w:w="8306" w:space="720"/>
          </w:cols>
          <w:docGrid w:type="lines" w:linePitch="312" w:charSpace="0"/>
        </w:sectPr>
      </w:pPr>
      <w:bookmarkStart w:id="12" w:name="_Toc5638"/>
    </w:p>
    <w:p>
      <w:pPr>
        <w:keepNext w:val="0"/>
        <w:keepLines w:val="0"/>
        <w:pageBreakBefore w:val="0"/>
        <w:widowControl w:val="0"/>
        <w:kinsoku/>
        <w:wordWrap/>
        <w:overflowPunct/>
        <w:topLinePunct w:val="0"/>
        <w:autoSpaceDE/>
        <w:autoSpaceDN/>
        <w:bidi w:val="0"/>
        <w:adjustRightInd/>
        <w:snapToGrid/>
        <w:spacing w:line="500" w:lineRule="exact"/>
        <w:jc w:val="both"/>
        <w:textAlignment w:val="auto"/>
        <w:outlineLvl w:val="0"/>
        <w:rPr>
          <w:rFonts w:ascii="Times New Roman" w:eastAsia="黑体" w:hAnsi="Times New Roman" w:cs="Times New Roman" w:hint="default"/>
          <w:bCs/>
          <w:iCs/>
          <w:color w:val="auto"/>
          <w:kern w:val="2"/>
          <w:sz w:val="32"/>
          <w:szCs w:val="21"/>
          <w:highlight w:val="none"/>
          <w:lang w:val="en-US" w:eastAsia="zh-CN" w:bidi="ar-SA"/>
        </w:rPr>
      </w:pPr>
      <w:r>
        <w:rPr>
          <w:rFonts w:ascii="Times New Roman" w:eastAsia="黑体" w:hAnsi="Times New Roman" w:cs="Times New Roman" w:hint="default"/>
          <w:bCs/>
          <w:iCs/>
          <w:color w:val="auto"/>
          <w:kern w:val="2"/>
          <w:sz w:val="32"/>
          <w:szCs w:val="21"/>
          <w:highlight w:val="none"/>
          <w:lang w:val="en-US" w:eastAsia="zh-CN" w:bidi="ar-SA"/>
        </w:rPr>
        <w:t xml:space="preserve">一、基本情况</w:t>
      </w:r>
      <w:bookmarkEnd w:id="6"/>
      <w:bookmarkEnd w:id="7"/>
      <w:bookmarkEnd w:id="8"/>
      <w:bookmarkEnd w:id="9"/>
      <w:bookmarkEnd w:id="10"/>
      <w:bookmarkEnd w:id="11"/>
      <w:bookmarkEnd w:id="12"/>
      <w:bookmarkStart w:id="13" w:name="_Toc27593"/>
    </w:p>
    <w:p>
      <w:pPr>
        <w:pStyle w:val="Heading3"/>
        <w:bidi w:val="0"/>
        <w:jc w:val="both"/>
        <w:outlineLvl w:val="1"/>
        <w:rPr>
          <w:rFonts w:ascii="Times New Roman" w:eastAsia="楷体" w:hAnsi="Times New Roman" w:cs="Times New Roman" w:hint="default"/>
          <w:color w:val="auto"/>
          <w:highlight w:val="none"/>
        </w:rPr>
      </w:pPr>
      <w:bookmarkStart w:id="14" w:name="_Toc9236"/>
      <w:bookmarkStart w:id="15" w:name="_Toc24706"/>
      <w:bookmarkStart w:id="16" w:name="_Toc26183"/>
      <w:bookmarkStart w:id="17" w:name="_Toc24048"/>
      <w:bookmarkStart w:id="18" w:name="_Toc1408"/>
      <w:r>
        <w:rPr>
          <w:rFonts w:ascii="Times New Roman" w:eastAsia="楷体" w:hAnsi="Times New Roman" w:cs="Times New Roman" w:hint="default"/>
          <w:color w:val="auto"/>
          <w:highlight w:val="none"/>
        </w:rPr>
        <w:t xml:space="preserve">（一）项目概况</w:t>
      </w:r>
      <w:bookmarkEnd w:id="13"/>
      <w:bookmarkEnd w:id="14"/>
      <w:bookmarkEnd w:id="15"/>
      <w:bookmarkEnd w:id="16"/>
      <w:bookmarkEnd w:id="17"/>
      <w:bookmarkEnd w:id="18"/>
    </w:p>
    <w:p>
      <w:pPr>
        <w:bidi w:val="0"/>
        <w:jc w:val="both"/>
        <w:rPr>
          <w:rFonts w:hint="default"/>
          <w:color w:val="auto"/>
          <w:highlight w:val="none"/>
        </w:rPr>
      </w:pPr>
      <w:bookmarkStart w:id="19" w:name="_Toc11427"/>
      <w:bookmarkStart w:id="20" w:name="_Toc19984"/>
      <w:r>
        <w:rPr>
          <w:rFonts w:ascii="Times New Roman" w:eastAsia="仿宋_GB2312" w:hAnsi="Times New Roman" w:cs="Times New Roman" w:hint="default"/>
          <w:b/>
          <w:bCs/>
          <w:color w:val="auto"/>
          <w:highlight w:val="none"/>
        </w:rPr>
        <w:t xml:space="preserve">1.项目背景</w:t>
      </w:r>
      <w:bookmarkEnd w:id="19"/>
      <w:bookmarkEnd w:id="20"/>
    </w:p>
    <w:p>
      <w:pPr>
        <w:bidi w:val="0"/>
        <w:jc w:val="both"/>
        <w:rPr>
          <w:rFonts w:ascii="Times New Roman" w:hAnsi="Times New Roman" w:cs="Times New Roman" w:hint="default"/>
          <w:color w:val="auto"/>
          <w:highlight w:val="none"/>
          <w:lang w:val="en-US" w:eastAsia="zh-CN"/>
        </w:rPr>
      </w:pPr>
      <w:r>
        <w:rPr>
          <w:rFonts w:ascii="Times New Roman" w:hAnsi="Times New Roman" w:cs="Times New Roman" w:hint="default"/>
          <w:color w:val="auto"/>
          <w:highlight w:val="none"/>
          <w:lang w:val="en-US" w:eastAsia="zh-CN"/>
        </w:rPr>
        <w:t xml:space="preserve">在职业教育蓬勃发展的当下，技工学校作为培育专业技能人才的重要阵地，承载着为社会输送高素质劳动者的重任。然而，随着办学规模的扩张和教学质量要求的提升，一系列成本问题逐渐浮出水面，成为制约学校进一步发展的瓶颈，这也促使我校启动自有资金项目，力求突破困境，实现可持续发展。</w:t>
      </w:r>
    </w:p>
    <w:p>
      <w:pPr>
        <w:bidi w:val="0"/>
        <w:jc w:val="both"/>
        <w:rPr>
          <w:rFonts w:ascii="Times New Roman" w:hAnsi="Times New Roman" w:cs="Times New Roman" w:hint="default"/>
          <w:color w:val="auto"/>
          <w:highlight w:val="none"/>
          <w:lang w:val="en-US" w:eastAsia="zh-CN"/>
        </w:rPr>
      </w:pPr>
      <w:bookmarkStart w:id="21" w:name="OLE_LINK26"/>
      <w:r>
        <w:rPr>
          <w:rFonts w:ascii="Times New Roman" w:hAnsi="Times New Roman" w:cs="Times New Roman" w:hint="default"/>
          <w:color w:val="auto"/>
          <w:highlight w:val="none"/>
          <w:lang w:val="en-US" w:eastAsia="zh-CN"/>
        </w:rPr>
        <w:t xml:space="preserve">外聘教师成本的不断攀升给学校带来了不小的压力。技工学校的专业课程往往需要具备丰富实践经验和专业技能的教师授课，校内教师在满足常规教学的同时，难以在所有细分专业领域做到精通。因此，外聘教师成为弥补师资短板的必要选择。这些外聘教师大多来自企业一线，拥有先进的行业技术和实操经验，能为学生带来最新的知识与技能。但他们的薪酬水平较高，除了课时费，还可能涉及交通、住宿等补贴</w:t>
      </w:r>
      <w:r>
        <w:rPr>
          <w:rFonts w:ascii="Times New Roman" w:hAnsi="Times New Roman" w:cs="Times New Roman" w:hint="eastAsia"/>
          <w:color w:val="auto"/>
          <w:highlight w:val="none"/>
          <w:lang w:val="en-US" w:eastAsia="zh-CN"/>
        </w:rPr>
        <w:t xml:space="preserve">，这</w:t>
      </w:r>
      <w:r>
        <w:rPr>
          <w:rFonts w:ascii="Times New Roman" w:hAnsi="Times New Roman" w:cs="Times New Roman" w:hint="default"/>
          <w:color w:val="auto"/>
          <w:highlight w:val="none"/>
          <w:lang w:val="en-US" w:eastAsia="zh-CN"/>
        </w:rPr>
        <w:t xml:space="preserve">给学校资金流造成了较大负担。</w:t>
      </w:r>
      <w:bookmarkEnd w:id="21"/>
    </w:p>
    <w:p>
      <w:pPr>
        <w:bidi w:val="0"/>
        <w:jc w:val="both"/>
        <w:rPr>
          <w:rFonts w:ascii="Times New Roman" w:hAnsi="Times New Roman" w:cs="Times New Roman" w:hint="default"/>
          <w:color w:val="auto"/>
          <w:highlight w:val="none"/>
          <w:lang w:val="en-US" w:eastAsia="zh-CN"/>
        </w:rPr>
      </w:pPr>
      <w:r>
        <w:rPr>
          <w:rFonts w:ascii="Times New Roman" w:hAnsi="Times New Roman" w:cs="Times New Roman" w:hint="default"/>
          <w:color w:val="auto"/>
          <w:highlight w:val="none"/>
          <w:lang w:val="en-US" w:eastAsia="zh-CN"/>
        </w:rPr>
        <w:t xml:space="preserve">培训费用成本同样不容小觑。为使学生掌握扎实的专业技能，技能鉴定成本是技工学校特有的一项重要支出。为了增强学生在就业市场的竞争力，学校鼓励学生获取各类专业技能证书。技能鉴定有着严格的流程和标准，从鉴定场地的布置、设备的配备，到邀请专业鉴定专家，再到考试材料的准备等，每个环节都需要投入资金。而且，为了提高学生的鉴定通过率，学校往往还需要组织专门的考前培训，这又进一步增加了成本</w:t>
      </w:r>
      <w:r>
        <w:rPr>
          <w:rFonts w:ascii="Times New Roman" w:hAnsi="Times New Roman" w:cs="Times New Roman" w:hint="eastAsia"/>
          <w:color w:val="auto"/>
          <w:highlight w:val="none"/>
          <w:lang w:val="en-US" w:eastAsia="zh-CN"/>
        </w:rPr>
        <w:t xml:space="preserve">；培训费用成本还</w:t>
      </w:r>
      <w:r>
        <w:rPr>
          <w:rFonts w:ascii="Times New Roman" w:hAnsi="Times New Roman" w:cs="Times New Roman" w:hint="default"/>
          <w:color w:val="auto"/>
          <w:highlight w:val="none"/>
          <w:lang w:val="en-US" w:eastAsia="zh-CN"/>
        </w:rPr>
        <w:t xml:space="preserve">涉及</w:t>
      </w:r>
      <w:r>
        <w:rPr>
          <w:rFonts w:ascii="Times New Roman" w:hAnsi="Times New Roman" w:cs="Times New Roman" w:hint="default"/>
          <w:color w:val="auto"/>
          <w:highlight w:val="none"/>
          <w:lang w:val="en-US" w:eastAsia="zh-CN"/>
        </w:rPr>
        <w:t xml:space="preserve">培训材料的消耗</w:t>
      </w:r>
      <w:r>
        <w:rPr>
          <w:rFonts w:ascii="Times New Roman" w:hAnsi="Times New Roman" w:cs="Times New Roman" w:hint="eastAsia"/>
          <w:color w:val="auto"/>
          <w:highlight w:val="none"/>
          <w:lang w:val="en-US" w:eastAsia="zh-CN"/>
        </w:rPr>
        <w:t xml:space="preserve">、烹饪学员的食材费</w:t>
      </w:r>
      <w:r>
        <w:rPr>
          <w:rFonts w:ascii="Times New Roman" w:hAnsi="Times New Roman" w:cs="Times New Roman" w:hint="default"/>
          <w:color w:val="auto"/>
          <w:highlight w:val="none"/>
          <w:lang w:val="en-US" w:eastAsia="zh-CN"/>
        </w:rPr>
        <w:t xml:space="preserve">等多项费用。以满足企业对人才技能的新要求。这都使得培训费用成本居高不下。</w:t>
      </w:r>
    </w:p>
    <w:p>
      <w:pPr>
        <w:bidi w:val="0"/>
        <w:jc w:val="both"/>
        <w:rPr>
          <w:rFonts w:ascii="Times New Roman" w:hAnsi="Times New Roman" w:cs="Times New Roman" w:hint="default"/>
          <w:color w:val="auto"/>
          <w:highlight w:val="none"/>
          <w:lang w:val="en-US" w:eastAsia="zh-CN"/>
        </w:rPr>
      </w:pPr>
      <w:r>
        <w:rPr>
          <w:rFonts w:ascii="Times New Roman" w:hAnsi="Times New Roman" w:cs="Times New Roman" w:hint="default"/>
          <w:color w:val="auto"/>
          <w:highlight w:val="none"/>
          <w:lang w:val="en-US" w:eastAsia="zh-CN"/>
        </w:rPr>
        <w:t xml:space="preserve">水电维修维护成本也是学校运营中一项持续的支出。学校校区建设年代不同，部分老旧校区的水电设施老化严重，经常出现故障，维修频率高。每次维修不仅需要支付维修人员的费用，还涉及更换零部件的成本。</w:t>
      </w:r>
    </w:p>
    <w:p>
      <w:pPr>
        <w:bidi w:val="0"/>
        <w:jc w:val="both"/>
        <w:rPr>
          <w:rFonts w:ascii="Times New Roman" w:hAnsi="Times New Roman" w:cs="Times New Roman" w:hint="default"/>
          <w:color w:val="auto"/>
          <w:highlight w:val="none"/>
          <w:lang w:val="en-US" w:eastAsia="zh-CN"/>
        </w:rPr>
      </w:pPr>
      <w:r>
        <w:rPr>
          <w:rFonts w:ascii="Times New Roman" w:hAnsi="Times New Roman" w:cs="Times New Roman" w:hint="default"/>
          <w:color w:val="auto"/>
          <w:highlight w:val="none"/>
          <w:lang w:val="en-US" w:eastAsia="zh-CN"/>
        </w:rPr>
        <w:t xml:space="preserve">综上所述，外聘教师成本、培训费用成本、水电维修维护成本，已成为影响我校发展的重要因素。为了优化资源配置、缓解资金压力、提升办学效益，学校决定启动自有资金项目，通过合理规划和有效管理，实现降本增效，</w:t>
      </w:r>
      <w:r>
        <w:rPr>
          <w:rFonts w:ascii="Times New Roman" w:hAnsi="Times New Roman" w:cs="Times New Roman" w:hint="eastAsia"/>
          <w:color w:val="auto"/>
          <w:highlight w:val="none"/>
          <w:lang w:val="en-US" w:eastAsia="zh-CN"/>
        </w:rPr>
        <w:t xml:space="preserve">提高学校办学质量，强化教学服务，打造出人民满意的技工学校。</w:t>
      </w:r>
    </w:p>
    <w:p>
      <w:pPr>
        <w:bidi w:val="0"/>
        <w:jc w:val="both"/>
        <w:rPr>
          <w:rFonts w:ascii="Times New Roman" w:eastAsia="仿宋_GB2312" w:hAnsi="Times New Roman" w:cs="Times New Roman" w:hint="default"/>
          <w:b/>
          <w:bCs/>
          <w:color w:val="auto"/>
          <w:highlight w:val="none"/>
        </w:rPr>
      </w:pPr>
      <w:bookmarkStart w:id="22" w:name="_Toc22079"/>
      <w:bookmarkStart w:id="23" w:name="_Toc22216"/>
      <w:r>
        <w:rPr>
          <w:rFonts w:ascii="Times New Roman" w:eastAsia="仿宋_GB2312" w:hAnsi="Times New Roman" w:cs="Times New Roman" w:hint="default"/>
          <w:b/>
          <w:bCs/>
          <w:color w:val="auto"/>
          <w:highlight w:val="none"/>
        </w:rPr>
        <w:t xml:space="preserve">2.项目</w:t>
      </w:r>
      <w:bookmarkStart w:id="24" w:name="OLE_LINK1"/>
      <w:r>
        <w:rPr>
          <w:rFonts w:ascii="Times New Roman" w:eastAsia="仿宋_GB2312" w:hAnsi="Times New Roman" w:cs="Times New Roman" w:hint="default"/>
          <w:b/>
          <w:bCs/>
          <w:color w:val="auto"/>
          <w:highlight w:val="none"/>
        </w:rPr>
        <w:t xml:space="preserve">主要内容</w:t>
      </w:r>
      <w:bookmarkEnd w:id="22"/>
      <w:bookmarkEnd w:id="23"/>
      <w:bookmarkEnd w:id="24"/>
    </w:p>
    <w:p>
      <w:pPr>
        <w:bidi w:val="0"/>
        <w:jc w:val="both"/>
        <w:rPr>
          <w:rFonts w:ascii="Times New Roman" w:eastAsia="仿宋_GB2312" w:hAnsi="Times New Roman" w:cs="Times New Roman" w:hint="default"/>
          <w:color w:val="auto"/>
          <w:highlight w:val="none"/>
        </w:rPr>
      </w:pPr>
      <w:bookmarkStart w:id="25" w:name="_Toc21529"/>
      <w:r>
        <w:rPr>
          <w:rFonts w:ascii="Times New Roman" w:hAnsi="Times New Roman" w:cs="Times New Roman" w:hint="eastAsia"/>
          <w:color w:val="auto"/>
          <w:highlight w:val="none"/>
          <w:lang w:val="en-US" w:eastAsia="zh-CN"/>
        </w:rPr>
        <w:t xml:space="preserve">自有资金用于培训及校园维护、后勤保障等工作、外聘教师工资、教师课时费、培训支出(</w:t>
      </w:r>
      <w:bookmarkStart w:id="26" w:name="OLE_LINK4"/>
      <w:r>
        <w:rPr>
          <w:rFonts w:ascii="Times New Roman" w:hAnsi="Times New Roman" w:cs="Times New Roman" w:hint="eastAsia"/>
          <w:color w:val="auto"/>
          <w:highlight w:val="none"/>
          <w:lang w:val="en-US" w:eastAsia="zh-CN"/>
        </w:rPr>
        <w:t xml:space="preserve">农牧民培训费用支出、技能鉴定费、耗材、学员食宿等</w:t>
      </w:r>
      <w:bookmarkEnd w:id="26"/>
      <w:r>
        <w:rPr>
          <w:rFonts w:ascii="Times New Roman" w:hAnsi="Times New Roman" w:cs="Times New Roman" w:hint="eastAsia"/>
          <w:color w:val="auto"/>
          <w:highlight w:val="none"/>
          <w:lang w:val="en-US" w:eastAsia="zh-CN"/>
        </w:rPr>
        <w:t xml:space="preserve">)、维持学校基本运转(水电网络、日常维修维护、消防安全、办公耗材)、广告宣传制作、印刷邮寄、一体化教师培训相关费用等等。</w:t>
      </w:r>
    </w:p>
    <w:p>
      <w:pPr>
        <w:numPr>
          <w:ilvl w:val="0"/>
          <w:numId w:val="0"/>
        </w:numPr>
        <w:bidi w:val="0"/>
        <w:ind w:firstLine="640" w:firstLineChars="200"/>
        <w:jc w:val="both"/>
        <w:rPr>
          <w:rFonts w:ascii="Times New Roman" w:hAnsi="Times New Roman" w:cs="Times New Roman" w:hint="eastAsia"/>
          <w:color w:val="auto"/>
          <w:highlight w:val="none"/>
          <w:lang w:val="en-US" w:eastAsia="zh-CN"/>
        </w:rPr>
      </w:pPr>
      <w:r>
        <w:rPr>
          <w:rFonts w:ascii="Times New Roman" w:hAnsi="Times New Roman" w:cs="Times New Roman" w:hint="eastAsia"/>
          <w:color w:val="auto"/>
          <w:kern w:val="2"/>
          <w:sz w:val="32"/>
          <w:szCs w:val="22"/>
          <w:highlight w:val="none"/>
          <w:lang w:val="en-US" w:eastAsia="zh-CN" w:bidi="ar-SA"/>
        </w:rPr>
        <w:t xml:space="preserve">（1）</w:t>
      </w:r>
      <w:r>
        <w:rPr>
          <w:rFonts w:ascii="Times New Roman" w:hAnsi="Times New Roman" w:cs="Times New Roman" w:hint="eastAsia"/>
          <w:color w:val="auto"/>
          <w:highlight w:val="none"/>
          <w:lang w:val="en-US" w:eastAsia="zh-CN"/>
        </w:rPr>
        <w:t xml:space="preserve">外聘教师工资成本：为弥补专业师资短板，师资优化外聘教师，完善课程体系。</w:t>
      </w:r>
    </w:p>
    <w:p>
      <w:pPr>
        <w:numPr>
          <w:ilvl w:val="0"/>
          <w:numId w:val="0"/>
        </w:numPr>
        <w:bidi w:val="0"/>
        <w:ind w:firstLine="640" w:firstLineChars="200"/>
        <w:jc w:val="both"/>
        <w:rPr>
          <w:rFonts w:ascii="Times New Roman" w:hAnsi="Times New Roman" w:cs="Times New Roman" w:hint="eastAsia"/>
          <w:color w:val="auto"/>
          <w:highlight w:val="none"/>
          <w:lang w:val="en-US" w:eastAsia="zh-CN"/>
        </w:rPr>
      </w:pPr>
      <w:r>
        <w:rPr>
          <w:rFonts w:ascii="Times New Roman" w:hAnsi="Times New Roman" w:cs="Times New Roman" w:hint="eastAsia"/>
          <w:color w:val="auto"/>
          <w:highlight w:val="none"/>
          <w:lang w:val="en-US" w:eastAsia="zh-CN"/>
        </w:rPr>
        <w:t xml:space="preserve">（2）培训费用成本：</w:t>
      </w:r>
      <w:bookmarkStart w:id="27" w:name="OLE_LINK6"/>
      <w:r>
        <w:rPr>
          <w:rFonts w:ascii="Times New Roman" w:hAnsi="Times New Roman" w:cs="Times New Roman" w:hint="eastAsia"/>
          <w:color w:val="auto"/>
          <w:highlight w:val="none"/>
          <w:lang w:val="en-US" w:eastAsia="zh-CN"/>
        </w:rPr>
        <w:t xml:space="preserve">农软民培训费用支出、技能鉴定费、材耗材、学员食宿等</w:t>
      </w:r>
      <w:bookmarkEnd w:id="27"/>
    </w:p>
    <w:p>
      <w:pPr>
        <w:bidi w:val="0"/>
        <w:jc w:val="both"/>
        <w:rPr>
          <w:rFonts w:ascii="Times New Roman" w:hAnsi="Times New Roman" w:cs="Times New Roman" w:hint="eastAsia"/>
          <w:color w:val="auto"/>
          <w:highlight w:val="none"/>
          <w:lang w:val="en-US" w:eastAsia="zh-CN"/>
        </w:rPr>
      </w:pPr>
      <w:r>
        <w:rPr>
          <w:rFonts w:ascii="Times New Roman" w:hAnsi="Times New Roman" w:cs="Times New Roman" w:hint="eastAsia"/>
          <w:color w:val="auto"/>
          <w:highlight w:val="none"/>
          <w:lang w:val="en-US" w:eastAsia="zh-CN"/>
        </w:rPr>
        <w:t xml:space="preserve">（3）水电、维修维护等成本：校园设施维护，建立水电设施定期巡检机制，及时更换老化设备，确保校园水电稳定供应，为教学和生活提供保障。</w:t>
      </w:r>
    </w:p>
    <w:p>
      <w:pPr>
        <w:bidi w:val="0"/>
        <w:jc w:val="both"/>
        <w:rPr>
          <w:rFonts w:ascii="Times New Roman" w:eastAsia="仿宋_GB2312" w:hAnsi="Times New Roman" w:cs="Times New Roman" w:hint="default"/>
          <w:b/>
          <w:bCs/>
          <w:color w:val="auto"/>
          <w:highlight w:val="none"/>
        </w:rPr>
      </w:pPr>
      <w:bookmarkStart w:id="28" w:name="_Toc31519"/>
      <w:r>
        <w:rPr>
          <w:rFonts w:ascii="Times New Roman" w:eastAsia="仿宋_GB2312" w:hAnsi="Times New Roman" w:cs="Times New Roman" w:hint="default"/>
          <w:b/>
          <w:bCs/>
          <w:color w:val="auto"/>
          <w:highlight w:val="none"/>
        </w:rPr>
        <w:t xml:space="preserve">3.项目实施情况</w:t>
      </w:r>
      <w:bookmarkEnd w:id="25"/>
      <w:bookmarkEnd w:id="28"/>
      <w:bookmarkStart w:id="29" w:name="_Toc20138"/>
    </w:p>
    <w:p>
      <w:pPr>
        <w:bidi w:val="0"/>
        <w:jc w:val="both"/>
        <w:rPr>
          <w:rFonts w:ascii="Times New Roman" w:hAnsi="Times New Roman" w:cs="Times New Roman" w:hint="eastAsia"/>
          <w:color w:val="auto"/>
          <w:highlight w:val="none"/>
          <w:lang w:val="en-US" w:eastAsia="zh-CN"/>
        </w:rPr>
      </w:pPr>
      <w:r>
        <w:rPr>
          <w:rFonts w:ascii="Times New Roman" w:hAnsi="Times New Roman" w:cs="Times New Roman" w:hint="eastAsia"/>
          <w:color w:val="auto"/>
          <w:highlight w:val="none"/>
          <w:lang w:val="en-US" w:eastAsia="zh-CN"/>
        </w:rPr>
        <w:t xml:space="preserve">（1）师资队伍扩充：外聘15位教师，主要开展理论与实践教学。</w:t>
      </w:r>
    </w:p>
    <w:p>
      <w:pPr>
        <w:bidi w:val="0"/>
        <w:jc w:val="both"/>
        <w:rPr>
          <w:rFonts w:ascii="Times New Roman" w:hAnsi="Times New Roman" w:cs="Times New Roman" w:hint="eastAsia"/>
          <w:color w:val="auto"/>
          <w:highlight w:val="none"/>
          <w:lang w:val="en-US" w:eastAsia="zh-CN"/>
        </w:rPr>
      </w:pPr>
      <w:r>
        <w:rPr>
          <w:rFonts w:ascii="Times New Roman" w:hAnsi="Times New Roman" w:cs="Times New Roman" w:hint="eastAsia"/>
          <w:color w:val="auto"/>
          <w:highlight w:val="none"/>
          <w:lang w:val="en-US" w:eastAsia="zh-CN"/>
        </w:rPr>
        <w:t xml:space="preserve">（2）培训全面开展：共开设了5期培训，鉴定人次达到2001人次，学员合格率达到了80%，项目资金保障了</w:t>
      </w:r>
      <w:bookmarkStart w:id="30" w:name="OLE_LINK7"/>
      <w:r>
        <w:rPr>
          <w:rFonts w:ascii="Times New Roman" w:hAnsi="Times New Roman" w:cs="Times New Roman" w:hint="eastAsia"/>
          <w:color w:val="auto"/>
          <w:highlight w:val="none"/>
          <w:lang w:val="en-US" w:eastAsia="zh-CN"/>
        </w:rPr>
        <w:t xml:space="preserve">农牧民</w:t>
      </w:r>
      <w:bookmarkEnd w:id="30"/>
      <w:r>
        <w:rPr>
          <w:rFonts w:ascii="Times New Roman" w:hAnsi="Times New Roman" w:cs="Times New Roman" w:hint="eastAsia"/>
          <w:color w:val="auto"/>
          <w:highlight w:val="none"/>
          <w:lang w:val="en-US" w:eastAsia="zh-CN"/>
        </w:rPr>
        <w:t xml:space="preserve">培训费用支出、技能鉴定费、材耗材、学员食宿等，提升了农牧民技能水平。</w:t>
      </w:r>
    </w:p>
    <w:p>
      <w:pPr>
        <w:bidi w:val="0"/>
        <w:jc w:val="both"/>
        <w:rPr>
          <w:rFonts w:ascii="Times New Roman" w:hAnsi="Times New Roman" w:cs="Times New Roman" w:hint="default"/>
          <w:color w:val="auto"/>
          <w:highlight w:val="none"/>
          <w:lang w:val="en-US" w:eastAsia="zh-CN"/>
        </w:rPr>
      </w:pPr>
      <w:r>
        <w:rPr>
          <w:rFonts w:ascii="Times New Roman" w:hAnsi="Times New Roman" w:cs="Times New Roman" w:hint="eastAsia"/>
          <w:color w:val="auto"/>
          <w:highlight w:val="none"/>
          <w:lang w:val="en-US" w:eastAsia="zh-CN"/>
        </w:rPr>
        <w:t xml:space="preserve">（3）设施维护有序：完成校园水电设施的巡检，维修、更换老化设备，保障了学校正常运转。</w:t>
      </w:r>
    </w:p>
    <w:p>
      <w:pPr>
        <w:bidi w:val="0"/>
        <w:jc w:val="both"/>
        <w:rPr>
          <w:rFonts w:ascii="Times New Roman" w:eastAsia="仿宋_GB2312" w:hAnsi="Times New Roman" w:cs="Times New Roman" w:hint="default"/>
          <w:b/>
          <w:bCs/>
          <w:color w:val="auto"/>
          <w:highlight w:val="none"/>
        </w:rPr>
      </w:pPr>
      <w:bookmarkStart w:id="31" w:name="_Toc1111"/>
      <w:r>
        <w:rPr>
          <w:rFonts w:ascii="Times New Roman" w:eastAsia="仿宋_GB2312" w:hAnsi="Times New Roman" w:cs="Times New Roman" w:hint="default"/>
          <w:b/>
          <w:bCs/>
          <w:color w:val="auto"/>
          <w:highlight w:val="none"/>
        </w:rPr>
        <w:t xml:space="preserve">4.资金投入情况</w:t>
      </w:r>
      <w:bookmarkEnd w:id="29"/>
      <w:bookmarkEnd w:id="31"/>
    </w:p>
    <w:p>
      <w:pPr>
        <w:bidi w:val="0"/>
        <w:jc w:val="both"/>
        <w:rPr>
          <w:rFonts w:ascii="Times New Roman" w:eastAsia="仿宋_GB2312" w:hAnsi="Times New Roman" w:cs="Times New Roman" w:hint="default"/>
          <w:color w:val="auto"/>
          <w:highlight w:val="none"/>
          <w:lang w:eastAsia="zh-CN"/>
        </w:rPr>
      </w:pPr>
      <w:bookmarkStart w:id="32" w:name="_Toc7324"/>
      <w:r>
        <w:rPr>
          <w:rFonts w:ascii="Times New Roman" w:hAnsi="Times New Roman" w:cs="Times New Roman" w:hint="eastAsia"/>
          <w:color w:val="auto"/>
          <w:highlight w:val="none"/>
          <w:lang w:val="en-US" w:eastAsia="zh-CN"/>
        </w:rPr>
        <w:t xml:space="preserve">2024年教育及培训经费（自有资金）289.21</w:t>
      </w:r>
      <w:r>
        <w:rPr>
          <w:rFonts w:ascii="Times New Roman" w:hAnsi="Times New Roman" w:cs="Times New Roman" w:hint="default"/>
          <w:color w:val="auto"/>
          <w:highlight w:val="none"/>
          <w:lang w:val="en-US" w:eastAsia="zh-CN"/>
        </w:rPr>
        <w:t xml:space="preserve">万元。其中用于外聘教师工资成本</w:t>
      </w:r>
      <w:r>
        <w:rPr>
          <w:rFonts w:ascii="Times New Roman" w:hAnsi="Times New Roman" w:cs="Times New Roman" w:hint="eastAsia"/>
          <w:color w:val="auto"/>
          <w:highlight w:val="none"/>
          <w:lang w:val="en-US" w:eastAsia="zh-CN"/>
        </w:rPr>
        <w:t xml:space="preserve">94.38</w:t>
      </w:r>
      <w:r>
        <w:rPr>
          <w:rFonts w:ascii="Times New Roman" w:eastAsia="仿宋_GB2312" w:hAnsi="Times New Roman" w:cs="Times New Roman" w:hint="default"/>
          <w:color w:val="auto"/>
          <w:highlight w:val="none"/>
        </w:rPr>
        <w:t xml:space="preserve">万元</w:t>
      </w:r>
      <w:r>
        <w:rPr>
          <w:rFonts w:ascii="Times New Roman" w:hAnsi="Times New Roman" w:cs="Times New Roman" w:hint="eastAsia"/>
          <w:color w:val="auto"/>
          <w:highlight w:val="none"/>
          <w:lang w:val="en-US" w:eastAsia="zh-CN"/>
        </w:rPr>
        <w:t xml:space="preserve">、培训费用成本134.67万元、水电维修维护等成本60.16</w:t>
      </w:r>
      <w:r>
        <w:rPr>
          <w:rFonts w:ascii="Times New Roman" w:eastAsia="仿宋_GB2312" w:hAnsi="Times New Roman" w:cs="Times New Roman" w:hint="default"/>
          <w:color w:val="auto"/>
          <w:highlight w:val="none"/>
        </w:rPr>
        <w:t xml:space="preserve">万元</w:t>
      </w:r>
      <w:r>
        <w:rPr>
          <w:rFonts w:ascii="Times New Roman" w:eastAsia="仿宋_GB2312" w:hAnsi="Times New Roman" w:cs="Times New Roman" w:hint="default"/>
          <w:color w:val="auto"/>
          <w:highlight w:val="none"/>
          <w:lang w:eastAsia="zh-CN"/>
        </w:rPr>
        <w:t xml:space="preserve">。</w:t>
      </w:r>
    </w:p>
    <w:p>
      <w:pPr>
        <w:bidi w:val="0"/>
        <w:jc w:val="both"/>
        <w:rPr>
          <w:rFonts w:ascii="Times New Roman" w:eastAsia="仿宋_GB2312" w:hAnsi="Times New Roman" w:cs="Times New Roman" w:hint="default"/>
          <w:color w:val="auto"/>
          <w:highlight w:val="none"/>
          <w:lang w:eastAsia="zh-CN"/>
        </w:rPr>
      </w:pPr>
      <w:r>
        <w:rPr>
          <w:rFonts w:ascii="Times New Roman" w:hAnsi="Times New Roman" w:cs="Times New Roman" w:hint="default"/>
          <w:color w:val="auto"/>
          <w:highlight w:val="none"/>
          <w:lang w:val="en-US" w:eastAsia="zh-CN"/>
        </w:rPr>
        <w:t xml:space="preserve">实施</w:t>
      </w:r>
      <w:r>
        <w:rPr>
          <w:rFonts w:ascii="Times New Roman" w:hAnsi="Times New Roman" w:cs="Times New Roman" w:hint="eastAsia"/>
          <w:color w:val="auto"/>
          <w:highlight w:val="none"/>
          <w:lang w:val="en-US" w:eastAsia="zh-CN"/>
        </w:rPr>
        <w:t xml:space="preserve">2024年教育及培训经费（自有资金）</w:t>
      </w:r>
      <w:r>
        <w:rPr>
          <w:rFonts w:ascii="Times New Roman" w:hAnsi="Times New Roman" w:cs="Times New Roman" w:hint="default"/>
          <w:color w:val="auto"/>
          <w:highlight w:val="none"/>
          <w:lang w:val="en-US" w:eastAsia="zh-CN"/>
        </w:rPr>
        <w:t xml:space="preserve">投入</w:t>
      </w:r>
      <w:r>
        <w:rPr>
          <w:rFonts w:ascii="Times New Roman" w:hAnsi="Times New Roman" w:cs="Times New Roman" w:hint="eastAsia"/>
          <w:color w:val="auto"/>
          <w:highlight w:val="none"/>
          <w:lang w:val="en-US" w:eastAsia="zh-CN"/>
        </w:rPr>
        <w:t xml:space="preserve">289.21</w:t>
      </w:r>
      <w:r>
        <w:rPr>
          <w:rFonts w:ascii="Times New Roman" w:hAnsi="Times New Roman" w:cs="Times New Roman" w:hint="default"/>
          <w:color w:val="auto"/>
          <w:highlight w:val="none"/>
          <w:lang w:val="en-US" w:eastAsia="zh-CN"/>
        </w:rPr>
        <w:t xml:space="preserve">万元，其中</w:t>
      </w:r>
      <w:r>
        <w:rPr>
          <w:rFonts w:ascii="Times New Roman" w:hAnsi="Times New Roman" w:cs="Times New Roman" w:hint="eastAsia"/>
          <w:color w:val="auto"/>
          <w:highlight w:val="none"/>
          <w:lang w:val="en-US" w:eastAsia="zh-CN"/>
        </w:rPr>
        <w:t xml:space="preserve">自有</w:t>
      </w:r>
      <w:r>
        <w:rPr>
          <w:rFonts w:ascii="Times New Roman" w:hAnsi="Times New Roman" w:cs="Times New Roman" w:hint="default"/>
          <w:color w:val="auto"/>
          <w:highlight w:val="none"/>
          <w:lang w:val="en-US" w:eastAsia="zh-CN"/>
        </w:rPr>
        <w:t xml:space="preserve">资金</w:t>
      </w:r>
      <w:bookmarkStart w:id="33" w:name="OLE_LINK2"/>
      <w:r>
        <w:rPr>
          <w:rFonts w:ascii="Times New Roman" w:hAnsi="Times New Roman" w:cs="Times New Roman" w:hint="eastAsia"/>
          <w:color w:val="auto"/>
          <w:highlight w:val="none"/>
          <w:lang w:val="en-US" w:eastAsia="zh-CN"/>
        </w:rPr>
        <w:t xml:space="preserve">289.21</w:t>
      </w:r>
      <w:bookmarkEnd w:id="33"/>
      <w:r>
        <w:rPr>
          <w:rFonts w:ascii="Times New Roman" w:hAnsi="Times New Roman" w:cs="Times New Roman" w:hint="default"/>
          <w:color w:val="auto"/>
          <w:highlight w:val="none"/>
          <w:lang w:val="en-US" w:eastAsia="zh-CN"/>
        </w:rPr>
        <w:t xml:space="preserve">万元。</w:t>
      </w:r>
    </w:p>
    <w:p>
      <w:pPr>
        <w:bidi w:val="0"/>
        <w:jc w:val="both"/>
        <w:rPr>
          <w:rFonts w:ascii="Times New Roman" w:eastAsia="仿宋_GB2312" w:hAnsi="Times New Roman" w:cs="Times New Roman" w:hint="default"/>
          <w:b/>
          <w:bCs/>
          <w:color w:val="auto"/>
          <w:highlight w:val="none"/>
        </w:rPr>
      </w:pPr>
      <w:bookmarkStart w:id="34" w:name="_Toc10837"/>
      <w:r>
        <w:rPr>
          <w:rFonts w:ascii="Times New Roman" w:eastAsia="仿宋_GB2312" w:hAnsi="Times New Roman" w:cs="Times New Roman" w:hint="default"/>
          <w:b/>
          <w:bCs/>
          <w:color w:val="auto"/>
          <w:highlight w:val="none"/>
        </w:rPr>
        <w:t xml:space="preserve">5.资金使用情况</w:t>
      </w:r>
      <w:bookmarkEnd w:id="32"/>
      <w:bookmarkEnd w:id="34"/>
    </w:p>
    <w:p>
      <w:pPr>
        <w:bidi w:val="0"/>
        <w:jc w:val="both"/>
        <w:rPr>
          <w:rFonts w:ascii="Times New Roman" w:eastAsia="仿宋_GB2312" w:hAnsi="Times New Roman" w:cs="Times New Roman" w:hint="default"/>
          <w:color w:val="auto"/>
          <w:highlight w:val="none"/>
        </w:rPr>
      </w:pPr>
      <w:r>
        <w:rPr>
          <w:rFonts w:ascii="Times New Roman" w:hAnsi="Times New Roman" w:cs="Times New Roman" w:hint="eastAsia"/>
          <w:color w:val="auto"/>
          <w:highlight w:val="none"/>
          <w:lang w:val="en-US" w:eastAsia="zh-CN"/>
        </w:rPr>
        <w:t xml:space="preserve">2024年</w:t>
      </w:r>
      <w:r>
        <w:rPr>
          <w:rFonts w:ascii="Times New Roman" w:eastAsia="仿宋_GB2312" w:hAnsi="Times New Roman" w:cs="Times New Roman" w:hint="default"/>
          <w:color w:val="auto"/>
          <w:sz w:val="32"/>
          <w:szCs w:val="32"/>
          <w:highlight w:val="none"/>
          <w:lang w:eastAsia="zh-CN"/>
        </w:rPr>
        <w:t xml:space="preserve">年初预算数</w:t>
      </w:r>
      <w:r>
        <w:rPr>
          <w:rFonts w:ascii="Times New Roman" w:hAnsi="Times New Roman" w:cs="Times New Roman" w:hint="eastAsia"/>
          <w:color w:val="auto"/>
          <w:sz w:val="32"/>
          <w:szCs w:val="32"/>
          <w:highlight w:val="none"/>
          <w:lang w:val="en-US" w:eastAsia="zh-CN"/>
        </w:rPr>
        <w:t xml:space="preserve">280万元，全年预算数</w:t>
      </w:r>
      <w:r>
        <w:rPr>
          <w:rFonts w:ascii="Times New Roman" w:hAnsi="Times New Roman" w:cs="Times New Roman" w:hint="eastAsia"/>
          <w:color w:val="auto"/>
          <w:highlight w:val="none"/>
          <w:lang w:val="en-US" w:eastAsia="zh-CN"/>
        </w:rPr>
        <w:t xml:space="preserve">289.21</w:t>
      </w:r>
      <w:r>
        <w:rPr>
          <w:rFonts w:ascii="Times New Roman" w:eastAsia="仿宋_GB2312" w:hAnsi="Times New Roman" w:cs="Times New Roman" w:hint="default"/>
          <w:color w:val="auto"/>
          <w:highlight w:val="none"/>
        </w:rPr>
        <w:t xml:space="preserve">万元</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实际到位资金</w:t>
      </w:r>
      <w:bookmarkStart w:id="35" w:name="OLE_LINK3"/>
      <w:r>
        <w:rPr>
          <w:rFonts w:ascii="Times New Roman" w:hAnsi="Times New Roman" w:cs="Times New Roman" w:hint="eastAsia"/>
          <w:color w:val="auto"/>
          <w:highlight w:val="none"/>
          <w:lang w:val="en-US" w:eastAsia="zh-CN"/>
        </w:rPr>
        <w:t xml:space="preserve">289.21</w:t>
      </w:r>
      <w:bookmarkEnd w:id="35"/>
      <w:r>
        <w:rPr>
          <w:rFonts w:ascii="Times New Roman" w:eastAsia="仿宋_GB2312" w:hAnsi="Times New Roman" w:cs="Times New Roman" w:hint="default"/>
          <w:color w:val="auto"/>
          <w:highlight w:val="none"/>
        </w:rPr>
        <w:t xml:space="preserve">万元</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截</w:t>
      </w:r>
      <w:r>
        <w:rPr>
          <w:rFonts w:ascii="Times New Roman" w:hAnsi="Times New Roman" w:cs="Times New Roman" w:hint="eastAsia"/>
          <w:color w:val="auto"/>
          <w:highlight w:val="none"/>
          <w:lang w:val="en-US" w:eastAsia="zh-CN"/>
        </w:rPr>
        <w:t xml:space="preserve">至</w:t>
      </w:r>
      <w:r>
        <w:rPr>
          <w:rFonts w:ascii="Times New Roman" w:eastAsia="仿宋_GB2312" w:hAnsi="Times New Roman" w:cs="Times New Roman" w:hint="default"/>
          <w:color w:val="auto"/>
          <w:highlight w:val="none"/>
        </w:rPr>
        <w:t xml:space="preserve">202</w:t>
      </w:r>
      <w:r>
        <w:rPr>
          <w:rFonts w:ascii="Times New Roman" w:hAnsi="Times New Roman" w:cs="Times New Roman" w:hint="eastAsia"/>
          <w:color w:val="auto"/>
          <w:highlight w:val="none"/>
          <w:lang w:val="en-US" w:eastAsia="zh-CN"/>
        </w:rPr>
        <w:t xml:space="preserve">4</w:t>
      </w:r>
      <w:r>
        <w:rPr>
          <w:rFonts w:ascii="Times New Roman" w:eastAsia="仿宋_GB2312" w:hAnsi="Times New Roman" w:cs="Times New Roman" w:hint="default"/>
          <w:color w:val="auto"/>
          <w:highlight w:val="none"/>
        </w:rPr>
        <w:t xml:space="preserve">年12月31日</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项目实际使用资金</w:t>
      </w:r>
      <w:r>
        <w:rPr>
          <w:rFonts w:ascii="Times New Roman" w:hAnsi="Times New Roman" w:cs="Times New Roman" w:hint="eastAsia"/>
          <w:color w:val="auto"/>
          <w:highlight w:val="none"/>
          <w:lang w:val="en-US" w:eastAsia="zh-CN"/>
        </w:rPr>
        <w:t xml:space="preserve">289.21</w:t>
      </w:r>
      <w:r>
        <w:rPr>
          <w:rFonts w:ascii="Times New Roman" w:eastAsia="仿宋_GB2312" w:hAnsi="Times New Roman" w:cs="Times New Roman" w:hint="default"/>
          <w:color w:val="auto"/>
          <w:highlight w:val="none"/>
        </w:rPr>
        <w:t xml:space="preserve">万元，资金</w:t>
      </w:r>
      <w:r>
        <w:rPr>
          <w:rFonts w:ascii="Times New Roman" w:eastAsia="仿宋_GB2312" w:hAnsi="Times New Roman" w:cs="Times New Roman" w:hint="default"/>
          <w:color w:val="auto"/>
          <w:highlight w:val="none"/>
          <w:lang w:val="en-US" w:eastAsia="zh-CN"/>
        </w:rPr>
        <w:t xml:space="preserve">使用</w:t>
      </w:r>
      <w:r>
        <w:rPr>
          <w:rFonts w:ascii="Times New Roman" w:eastAsia="仿宋_GB2312" w:hAnsi="Times New Roman" w:cs="Times New Roman" w:hint="default"/>
          <w:color w:val="auto"/>
          <w:highlight w:val="none"/>
        </w:rPr>
        <w:t xml:space="preserve">率达到了</w:t>
      </w:r>
      <w:r>
        <w:rPr>
          <w:rFonts w:ascii="Times New Roman" w:eastAsia="仿宋_GB2312" w:hAnsi="Times New Roman" w:cs="Times New Roman" w:hint="default"/>
          <w:color w:val="auto"/>
          <w:highlight w:val="none"/>
          <w:lang w:val="en-US" w:eastAsia="zh-CN"/>
        </w:rPr>
        <w:t xml:space="preserve">100</w:t>
      </w:r>
      <w:r>
        <w:rPr>
          <w:rFonts w:ascii="Times New Roman" w:eastAsia="仿宋_GB2312" w:hAnsi="Times New Roman" w:cs="Times New Roman" w:hint="default"/>
          <w:color w:val="auto"/>
          <w:highlight w:val="none"/>
        </w:rPr>
        <w:t xml:space="preserve">%。具体资金支付情况</w:t>
      </w:r>
      <w:r>
        <w:rPr>
          <w:rFonts w:ascii="Times New Roman" w:hAnsi="Times New Roman" w:cs="Times New Roman" w:hint="eastAsia"/>
          <w:color w:val="auto"/>
          <w:highlight w:val="none"/>
          <w:lang w:val="en-US" w:eastAsia="zh-CN"/>
        </w:rPr>
        <w:t xml:space="preserve">如下</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eastAsia"/>
          <w:color w:val="auto"/>
          <w:highlight w:val="none"/>
          <w:lang w:eastAsia="zh-CN"/>
        </w:rPr>
      </w:pPr>
      <w:bookmarkStart w:id="36" w:name="OLE_LINK5"/>
      <w:bookmarkStart w:id="37" w:name="OLE_LINK22"/>
      <w:r>
        <w:rPr>
          <w:rFonts w:ascii="Times New Roman" w:eastAsia="仿宋_GB2312" w:hAnsi="Times New Roman" w:cs="Times New Roman" w:hint="default"/>
          <w:color w:val="auto"/>
          <w:highlight w:val="none"/>
        </w:rPr>
        <w:t xml:space="preserve">2</w:t>
      </w:r>
      <w:bookmarkStart w:id="38" w:name="OLE_LINK21"/>
      <w:r>
        <w:rPr>
          <w:rFonts w:ascii="Times New Roman" w:eastAsia="仿宋_GB2312" w:hAnsi="Times New Roman" w:cs="Times New Roman" w:hint="default"/>
          <w:color w:val="auto"/>
          <w:highlight w:val="none"/>
        </w:rPr>
        <w:t xml:space="preserve">02</w:t>
      </w:r>
      <w:r>
        <w:rPr>
          <w:rFonts w:ascii="Times New Roman" w:hAnsi="Times New Roman" w:cs="Times New Roman" w:hint="eastAsia"/>
          <w:color w:val="auto"/>
          <w:highlight w:val="none"/>
          <w:lang w:val="en-US" w:eastAsia="zh-CN"/>
        </w:rPr>
        <w:t xml:space="preserve">4</w:t>
      </w:r>
      <w:r>
        <w:rPr>
          <w:rFonts w:ascii="Times New Roman" w:eastAsia="仿宋_GB2312" w:hAnsi="Times New Roman" w:cs="Times New Roman" w:hint="default"/>
          <w:color w:val="auto"/>
          <w:highlight w:val="none"/>
        </w:rPr>
        <w:t xml:space="preserve">年</w:t>
      </w:r>
      <w:bookmarkEnd w:id="36"/>
      <w:r>
        <w:rPr>
          <w:rFonts w:ascii="Times New Roman" w:hAnsi="Times New Roman" w:cs="Times New Roman" w:hint="eastAsia"/>
          <w:color w:val="auto"/>
          <w:highlight w:val="none"/>
          <w:lang w:val="en-US" w:eastAsia="zh-CN"/>
        </w:rPr>
        <w:t xml:space="preserve">1月至2024年12月</w:t>
      </w:r>
      <w:bookmarkEnd w:id="37"/>
      <w:bookmarkEnd w:id="38"/>
      <w:r>
        <w:rPr>
          <w:rFonts w:ascii="Times New Roman" w:eastAsia="仿宋_GB2312" w:hAnsi="Times New Roman" w:cs="Times New Roman" w:hint="default"/>
          <w:color w:val="auto"/>
          <w:highlight w:val="none"/>
        </w:rPr>
        <w:t xml:space="preserve">，</w:t>
      </w:r>
      <w:r>
        <w:rPr>
          <w:rFonts w:ascii="Times New Roman" w:hAnsi="Times New Roman" w:cs="Times New Roman" w:hint="eastAsia"/>
          <w:color w:val="auto"/>
          <w:highlight w:val="none"/>
          <w:lang w:val="en-US" w:eastAsia="zh-CN"/>
        </w:rPr>
        <w:t xml:space="preserve">共</w:t>
      </w:r>
      <w:r>
        <w:rPr>
          <w:rFonts w:ascii="Times New Roman" w:eastAsia="仿宋_GB2312" w:hAnsi="Times New Roman" w:cs="Times New Roman" w:hint="default"/>
          <w:color w:val="auto"/>
          <w:highlight w:val="none"/>
        </w:rPr>
        <w:t xml:space="preserve">支付外聘教师工资成本</w:t>
      </w:r>
      <w:r>
        <w:rPr>
          <w:rFonts w:ascii="Times New Roman" w:hAnsi="Times New Roman" w:cs="Times New Roman" w:hint="eastAsia"/>
          <w:color w:val="auto"/>
          <w:highlight w:val="none"/>
          <w:lang w:val="en-US" w:eastAsia="zh-CN"/>
        </w:rPr>
        <w:t xml:space="preserve">94.38</w:t>
      </w:r>
      <w:r>
        <w:rPr>
          <w:rFonts w:ascii="Times New Roman" w:eastAsia="仿宋_GB2312" w:hAnsi="Times New Roman" w:cs="Times New Roman" w:hint="default"/>
          <w:color w:val="auto"/>
          <w:highlight w:val="none"/>
        </w:rPr>
        <w:t xml:space="preserve">万元</w:t>
      </w:r>
      <w:r>
        <w:rPr>
          <w:rFonts w:ascii="Times New Roman" w:hAnsi="Times New Roman" w:cs="Times New Roman" w:hint="eastAsia"/>
          <w:color w:val="auto"/>
          <w:highlight w:val="none"/>
          <w:lang w:eastAsia="zh-CN"/>
        </w:rPr>
        <w:t xml:space="preserve">；</w:t>
      </w:r>
    </w:p>
    <w:p>
      <w:pPr>
        <w:bidi w:val="0"/>
        <w:rPr>
          <w:rFonts w:ascii="Times New Roman" w:hAnsi="Times New Roman" w:cs="Times New Roman" w:hint="eastAsia"/>
          <w:color w:val="auto"/>
          <w:highlight w:val="none"/>
          <w:lang w:eastAsia="zh-CN"/>
        </w:rPr>
      </w:pPr>
      <w:r>
        <w:rPr>
          <w:rFonts w:ascii="Times New Roman" w:eastAsia="仿宋_GB2312" w:hAnsi="Times New Roman" w:cs="Times New Roman" w:hint="default"/>
          <w:color w:val="auto"/>
          <w:highlight w:val="none"/>
        </w:rPr>
        <w:t xml:space="preserve">202</w:t>
      </w:r>
      <w:r>
        <w:rPr>
          <w:rFonts w:ascii="Times New Roman" w:hAnsi="Times New Roman" w:cs="Times New Roman" w:hint="eastAsia"/>
          <w:color w:val="auto"/>
          <w:highlight w:val="none"/>
          <w:lang w:val="en-US" w:eastAsia="zh-CN"/>
        </w:rPr>
        <w:t xml:space="preserve">4</w:t>
      </w:r>
      <w:r>
        <w:rPr>
          <w:rFonts w:ascii="Times New Roman" w:eastAsia="仿宋_GB2312" w:hAnsi="Times New Roman" w:cs="Times New Roman" w:hint="default"/>
          <w:color w:val="auto"/>
          <w:highlight w:val="none"/>
        </w:rPr>
        <w:t xml:space="preserve">年</w:t>
      </w:r>
      <w:r>
        <w:rPr>
          <w:rFonts w:ascii="Times New Roman" w:hAnsi="Times New Roman" w:cs="Times New Roman" w:hint="eastAsia"/>
          <w:color w:val="auto"/>
          <w:highlight w:val="none"/>
          <w:lang w:val="en-US" w:eastAsia="zh-CN"/>
        </w:rPr>
        <w:t xml:space="preserve">1月至2024年12月</w:t>
      </w:r>
      <w:r>
        <w:rPr>
          <w:rFonts w:ascii="Times New Roman" w:eastAsia="仿宋_GB2312" w:hAnsi="Times New Roman" w:cs="Times New Roman" w:hint="default"/>
          <w:color w:val="auto"/>
          <w:highlight w:val="none"/>
        </w:rPr>
        <w:t xml:space="preserve">，</w:t>
      </w:r>
      <w:r>
        <w:rPr>
          <w:rFonts w:ascii="Times New Roman" w:hAnsi="Times New Roman" w:cs="Times New Roman" w:hint="eastAsia"/>
          <w:color w:val="auto"/>
          <w:highlight w:val="none"/>
          <w:lang w:val="en-US" w:eastAsia="zh-CN"/>
        </w:rPr>
        <w:t xml:space="preserve">共</w:t>
      </w:r>
      <w:r>
        <w:rPr>
          <w:rFonts w:ascii="Times New Roman" w:eastAsia="仿宋_GB2312" w:hAnsi="Times New Roman" w:cs="Times New Roman" w:hint="default"/>
          <w:color w:val="auto"/>
          <w:highlight w:val="none"/>
        </w:rPr>
        <w:t xml:space="preserve">支付</w:t>
      </w:r>
      <w:r>
        <w:rPr>
          <w:rFonts w:ascii="Times New Roman" w:hAnsi="Times New Roman" w:cs="Times New Roman" w:hint="eastAsia"/>
          <w:color w:val="auto"/>
          <w:highlight w:val="none"/>
          <w:lang w:val="en-US" w:eastAsia="zh-CN"/>
        </w:rPr>
        <w:t xml:space="preserve">培训费用成本134.67</w:t>
      </w:r>
      <w:r>
        <w:rPr>
          <w:rFonts w:ascii="Times New Roman" w:eastAsia="仿宋_GB2312" w:hAnsi="Times New Roman" w:cs="Times New Roman" w:hint="default"/>
          <w:color w:val="auto"/>
          <w:highlight w:val="none"/>
        </w:rPr>
        <w:t xml:space="preserve">万元</w:t>
      </w:r>
      <w:r>
        <w:rPr>
          <w:rFonts w:ascii="Times New Roman" w:hAnsi="Times New Roman" w:cs="Times New Roman" w:hint="eastAsia"/>
          <w:color w:val="auto"/>
          <w:highlight w:val="none"/>
          <w:lang w:eastAsia="zh-CN"/>
        </w:rPr>
        <w:t xml:space="preserve">。</w:t>
      </w:r>
    </w:p>
    <w:p>
      <w:pPr>
        <w:bidi w:val="0"/>
        <w:rPr>
          <w:rFonts w:hint="eastAsia"/>
          <w:color w:val="auto"/>
          <w:highlight w:val="none"/>
          <w:lang w:eastAsia="zh-CN"/>
        </w:rPr>
      </w:pPr>
      <w:r>
        <w:rPr>
          <w:rFonts w:ascii="Times New Roman" w:eastAsia="仿宋_GB2312" w:hAnsi="Times New Roman" w:cs="Times New Roman" w:hint="default"/>
          <w:color w:val="auto"/>
          <w:highlight w:val="none"/>
        </w:rPr>
        <w:t xml:space="preserve">202</w:t>
      </w:r>
      <w:r>
        <w:rPr>
          <w:rFonts w:ascii="Times New Roman" w:hAnsi="Times New Roman" w:cs="Times New Roman" w:hint="eastAsia"/>
          <w:color w:val="auto"/>
          <w:highlight w:val="none"/>
          <w:lang w:val="en-US" w:eastAsia="zh-CN"/>
        </w:rPr>
        <w:t xml:space="preserve">4</w:t>
      </w:r>
      <w:r>
        <w:rPr>
          <w:rFonts w:ascii="Times New Roman" w:eastAsia="仿宋_GB2312" w:hAnsi="Times New Roman" w:cs="Times New Roman" w:hint="default"/>
          <w:color w:val="auto"/>
          <w:highlight w:val="none"/>
        </w:rPr>
        <w:t xml:space="preserve">年</w:t>
      </w:r>
      <w:r>
        <w:rPr>
          <w:rFonts w:ascii="Times New Roman" w:hAnsi="Times New Roman" w:cs="Times New Roman" w:hint="eastAsia"/>
          <w:color w:val="auto"/>
          <w:highlight w:val="none"/>
          <w:lang w:val="en-US" w:eastAsia="zh-CN"/>
        </w:rPr>
        <w:t xml:space="preserve">1月至2024年12月</w:t>
      </w:r>
      <w:r>
        <w:rPr>
          <w:rFonts w:ascii="Times New Roman" w:eastAsia="仿宋_GB2312" w:hAnsi="Times New Roman" w:cs="Times New Roman" w:hint="default"/>
          <w:color w:val="auto"/>
          <w:highlight w:val="none"/>
        </w:rPr>
        <w:t xml:space="preserve">，</w:t>
      </w:r>
      <w:r>
        <w:rPr>
          <w:rFonts w:ascii="Times New Roman" w:hAnsi="Times New Roman" w:cs="Times New Roman" w:hint="eastAsia"/>
          <w:color w:val="auto"/>
          <w:highlight w:val="none"/>
          <w:lang w:val="en-US" w:eastAsia="zh-CN"/>
        </w:rPr>
        <w:t xml:space="preserve">共</w:t>
      </w:r>
      <w:r>
        <w:rPr>
          <w:rFonts w:ascii="Times New Roman" w:eastAsia="仿宋_GB2312" w:hAnsi="Times New Roman" w:cs="Times New Roman" w:hint="default"/>
          <w:color w:val="auto"/>
          <w:highlight w:val="none"/>
        </w:rPr>
        <w:t xml:space="preserve">支付</w:t>
      </w:r>
      <w:r>
        <w:rPr>
          <w:rFonts w:ascii="Times New Roman" w:hAnsi="Times New Roman" w:cs="Times New Roman" w:hint="eastAsia"/>
          <w:color w:val="auto"/>
          <w:highlight w:val="none"/>
          <w:lang w:val="en-US" w:eastAsia="zh-CN"/>
        </w:rPr>
        <w:t xml:space="preserve">水电、维修维护等成本60.16</w:t>
      </w:r>
      <w:r>
        <w:rPr>
          <w:rFonts w:ascii="Times New Roman" w:eastAsia="仿宋_GB2312" w:hAnsi="Times New Roman" w:cs="Times New Roman" w:hint="default"/>
          <w:color w:val="auto"/>
          <w:highlight w:val="none"/>
        </w:rPr>
        <w:t xml:space="preserve">万元</w:t>
      </w:r>
      <w:r>
        <w:rPr>
          <w:rFonts w:ascii="Times New Roman" w:hAnsi="Times New Roman" w:cs="Times New Roman" w:hint="eastAsia"/>
          <w:color w:val="auto"/>
          <w:highlight w:val="none"/>
          <w:lang w:eastAsia="zh-CN"/>
        </w:rPr>
        <w:t xml:space="preserve">。</w:t>
      </w:r>
    </w:p>
    <w:p>
      <w:pPr>
        <w:pStyle w:val="Heading3"/>
        <w:bidi w:val="0"/>
        <w:jc w:val="both"/>
        <w:outlineLvl w:val="1"/>
        <w:rPr>
          <w:rFonts w:ascii="Times New Roman" w:eastAsia="楷体" w:hAnsi="Times New Roman" w:cs="Times New Roman" w:hint="default"/>
          <w:color w:val="auto"/>
          <w:highlight w:val="none"/>
        </w:rPr>
      </w:pPr>
      <w:bookmarkStart w:id="39" w:name="_Toc14296"/>
      <w:bookmarkStart w:id="40" w:name="_Toc9567"/>
      <w:bookmarkStart w:id="41" w:name="_Toc17234"/>
      <w:bookmarkStart w:id="42" w:name="_Toc31302"/>
      <w:bookmarkStart w:id="43" w:name="_Toc11967"/>
      <w:bookmarkStart w:id="44" w:name="_Toc26395"/>
      <w:r>
        <w:rPr>
          <w:rFonts w:ascii="Times New Roman" w:eastAsia="楷体" w:hAnsi="Times New Roman" w:cs="Times New Roman" w:hint="default"/>
          <w:color w:val="auto"/>
          <w:highlight w:val="none"/>
        </w:rPr>
        <w:t xml:space="preserve">（二）项目绩效目标</w:t>
      </w:r>
      <w:bookmarkEnd w:id="39"/>
      <w:bookmarkEnd w:id="40"/>
      <w:bookmarkEnd w:id="41"/>
      <w:bookmarkEnd w:id="42"/>
      <w:bookmarkEnd w:id="43"/>
      <w:bookmarkEnd w:id="44"/>
    </w:p>
    <w:p>
      <w:pPr>
        <w:bidi w:val="0"/>
        <w:jc w:val="both"/>
        <w:rPr>
          <w:rFonts w:ascii="Times New Roman" w:eastAsia="仿宋_GB2312" w:hAnsi="Times New Roman" w:cs="Times New Roman" w:hint="default"/>
          <w:b/>
          <w:bCs/>
          <w:color w:val="auto"/>
          <w:highlight w:val="none"/>
        </w:rPr>
      </w:pPr>
      <w:bookmarkStart w:id="45" w:name="_Toc905"/>
      <w:bookmarkStart w:id="46" w:name="_Toc18809"/>
      <w:r>
        <w:rPr>
          <w:rFonts w:ascii="Times New Roman" w:eastAsia="仿宋_GB2312" w:hAnsi="Times New Roman" w:cs="Times New Roman" w:hint="default"/>
          <w:b/>
          <w:bCs/>
          <w:color w:val="auto"/>
          <w:highlight w:val="none"/>
        </w:rPr>
        <w:t xml:space="preserve">1.总体目标</w:t>
      </w:r>
      <w:bookmarkEnd w:id="45"/>
      <w:bookmarkEnd w:id="46"/>
    </w:p>
    <w:p>
      <w:pPr>
        <w:bidi w:val="0"/>
        <w:jc w:val="both"/>
        <w:rPr>
          <w:rFonts w:ascii="Times New Roman" w:hAnsi="Times New Roman" w:cs="Times New Roman" w:hint="eastAsia"/>
          <w:color w:val="auto"/>
          <w:highlight w:val="none"/>
          <w:lang w:eastAsia="zh-CN"/>
        </w:rPr>
      </w:pPr>
      <w:bookmarkStart w:id="47" w:name="_Toc10045"/>
      <w:bookmarkStart w:id="48" w:name="_Toc11195"/>
      <w:r>
        <w:rPr>
          <w:rFonts w:ascii="Times New Roman" w:hAnsi="Times New Roman" w:cs="Times New Roman" w:hint="eastAsia"/>
          <w:color w:val="auto"/>
          <w:highlight w:val="none"/>
          <w:lang w:eastAsia="zh-CN"/>
        </w:rPr>
        <w:t xml:space="preserve">外聘教师人数达到15人以上，</w:t>
      </w:r>
      <w:bookmarkStart w:id="49" w:name="OLE_LINK10"/>
      <w:r>
        <w:rPr>
          <w:rFonts w:ascii="Times New Roman" w:hAnsi="Times New Roman" w:cs="Times New Roman" w:hint="eastAsia"/>
          <w:color w:val="auto"/>
          <w:highlight w:val="none"/>
          <w:lang w:eastAsia="zh-CN"/>
        </w:rPr>
        <w:t xml:space="preserve">开设培训期数</w:t>
      </w:r>
      <w:bookmarkEnd w:id="49"/>
      <w:r>
        <w:rPr>
          <w:rFonts w:ascii="Times New Roman" w:hAnsi="Times New Roman" w:cs="Times New Roman" w:hint="eastAsia"/>
          <w:color w:val="auto"/>
          <w:highlight w:val="none"/>
          <w:lang w:eastAsia="zh-CN"/>
        </w:rPr>
        <w:t xml:space="preserve">超过5期，</w:t>
      </w:r>
      <w:bookmarkStart w:id="50" w:name="OLE_LINK11"/>
      <w:r>
        <w:rPr>
          <w:rFonts w:ascii="Times New Roman" w:hAnsi="Times New Roman" w:cs="Times New Roman" w:hint="eastAsia"/>
          <w:color w:val="auto"/>
          <w:highlight w:val="none"/>
          <w:lang w:eastAsia="zh-CN"/>
        </w:rPr>
        <w:t xml:space="preserve">技能等级鉴定人次</w:t>
      </w:r>
      <w:bookmarkEnd w:id="50"/>
      <w:r>
        <w:rPr>
          <w:rFonts w:ascii="Times New Roman" w:hAnsi="Times New Roman" w:cs="Times New Roman" w:hint="eastAsia"/>
          <w:color w:val="auto"/>
          <w:highlight w:val="none"/>
          <w:lang w:eastAsia="zh-CN"/>
        </w:rPr>
        <w:t xml:space="preserve">超过2000人，从而保障技工学校业务工作正常开展，提升教学水平，满足培训各项硬件刚需，提升学员技术水平，提高学员对我校的满意度。</w:t>
      </w:r>
    </w:p>
    <w:p>
      <w:pPr>
        <w:numPr>
          <w:ilvl w:val="0"/>
          <w:numId w:val="0"/>
        </w:numPr>
        <w:bidi w:val="0"/>
        <w:ind w:firstLine="640" w:firstLineChars="200"/>
        <w:jc w:val="both"/>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kern w:val="2"/>
          <w:sz w:val="32"/>
          <w:szCs w:val="22"/>
          <w:highlight w:val="none"/>
          <w:lang w:val="en-US" w:eastAsia="zh-CN" w:bidi="ar-SA"/>
        </w:rPr>
        <w:t xml:space="preserve">2.</w:t>
      </w:r>
      <w:r>
        <w:rPr>
          <w:rFonts w:ascii="Times New Roman" w:eastAsia="仿宋_GB2312" w:hAnsi="Times New Roman" w:cs="Times New Roman" w:hint="default"/>
          <w:b/>
          <w:bCs/>
          <w:color w:val="auto"/>
          <w:highlight w:val="none"/>
        </w:rPr>
        <w:t xml:space="preserve">阶段性目标</w:t>
      </w:r>
      <w:bookmarkEnd w:id="47"/>
      <w:bookmarkEnd w:id="48"/>
    </w:p>
    <w:p>
      <w:pPr>
        <w:numPr>
          <w:ilvl w:val="0"/>
          <w:numId w:val="0"/>
        </w:numPr>
        <w:bidi w:val="0"/>
        <w:ind w:firstLine="640" w:firstLineChars="200"/>
        <w:rPr>
          <w:rFonts w:ascii="Times New Roman" w:eastAsia="仿宋_GB2312" w:hAnsi="Times New Roman" w:cs="Times New Roman" w:hint="default"/>
          <w:b w:val="0"/>
          <w:color w:val="auto"/>
          <w:kern w:val="2"/>
          <w:sz w:val="32"/>
          <w:szCs w:val="22"/>
          <w:highlight w:val="none"/>
          <w:lang w:val="en-US" w:eastAsia="zh-CN" w:bidi="ar-SA"/>
        </w:rPr>
      </w:pPr>
      <w:r>
        <w:rPr>
          <w:rFonts w:ascii="Times New Roman" w:eastAsia="仿宋_GB2312" w:hAnsi="Times New Roman" w:cs="Times New Roman" w:hint="default"/>
          <w:b w:val="0"/>
          <w:color w:val="auto"/>
          <w:kern w:val="2"/>
          <w:sz w:val="32"/>
          <w:szCs w:val="22"/>
          <w:highlight w:val="none"/>
          <w:lang w:val="en-US" w:eastAsia="zh-CN" w:bidi="ar-SA"/>
        </w:rPr>
        <w:t xml:space="preserve">在技工学校的运营中，成本控制与资源优化是保障教学质量、实现可持续发展的关键。2024年1月至2024年12月，我校围绕外聘教师成本94.38万元、培训费用成本134.67万元、水电维修维护成本</w:t>
      </w:r>
      <w:bookmarkStart w:id="51" w:name="OLE_LINK28"/>
      <w:r>
        <w:rPr>
          <w:rFonts w:ascii="Times New Roman" w:eastAsia="仿宋_GB2312" w:hAnsi="Times New Roman" w:cs="Times New Roman" w:hint="default"/>
          <w:b w:val="0"/>
          <w:color w:val="auto"/>
          <w:kern w:val="2"/>
          <w:sz w:val="32"/>
          <w:szCs w:val="22"/>
          <w:highlight w:val="none"/>
          <w:lang w:val="en-US" w:eastAsia="zh-CN" w:bidi="ar-SA"/>
        </w:rPr>
        <w:t xml:space="preserve">60.16万元</w:t>
      </w:r>
      <w:bookmarkEnd w:id="51"/>
      <w:r>
        <w:rPr>
          <w:rFonts w:ascii="Times New Roman" w:eastAsia="仿宋_GB2312" w:hAnsi="Times New Roman" w:cs="Times New Roman" w:hint="default"/>
          <w:b w:val="0"/>
          <w:color w:val="auto"/>
          <w:kern w:val="2"/>
          <w:sz w:val="32"/>
          <w:szCs w:val="22"/>
          <w:highlight w:val="none"/>
          <w:lang w:val="en-US" w:eastAsia="zh-CN" w:bidi="ar-SA"/>
        </w:rPr>
        <w:t xml:space="preserve">，制定自有资金项目阶段性目标，力求提升资金使用效率，强化办学效益。</w:t>
      </w:r>
    </w:p>
    <w:p>
      <w:pPr>
        <w:numPr>
          <w:ilvl w:val="0"/>
          <w:numId w:val="0"/>
        </w:numPr>
        <w:bidi w:val="0"/>
        <w:ind w:firstLine="640" w:firstLineChars="200"/>
        <w:rPr>
          <w:rFonts w:hint="default"/>
          <w:color w:val="auto"/>
          <w:highlight w:val="none"/>
          <w:lang w:val="en-US" w:eastAsia="zh-CN"/>
        </w:rPr>
      </w:pPr>
      <w:r>
        <w:rPr>
          <w:rFonts w:eastAsia="仿宋_GB2312" w:hint="default"/>
          <w:color w:val="auto"/>
          <w:kern w:val="2"/>
          <w:sz w:val="32"/>
          <w:szCs w:val="22"/>
          <w:highlight w:val="none"/>
          <w:lang w:val="en-US" w:eastAsia="zh-CN" w:bidi="ar-SA"/>
        </w:rPr>
        <w:t xml:space="preserve">（1）</w:t>
      </w:r>
      <w:r>
        <w:rPr>
          <w:rFonts w:hint="eastAsia"/>
          <w:color w:val="auto"/>
          <w:kern w:val="2"/>
          <w:sz w:val="32"/>
          <w:szCs w:val="22"/>
          <w:highlight w:val="none"/>
          <w:lang w:val="en-US" w:eastAsia="zh-CN" w:bidi="ar-SA"/>
        </w:rPr>
        <w:t xml:space="preserve">截至</w:t>
      </w:r>
      <w:r>
        <w:rPr>
          <w:rFonts w:cs="Times New Roman" w:hint="eastAsia"/>
          <w:color w:val="auto"/>
          <w:highlight w:val="none"/>
          <w:lang w:val="en-US" w:eastAsia="zh-CN"/>
        </w:rPr>
        <w:t xml:space="preserve">2024年12月31日，</w:t>
      </w:r>
      <w:r>
        <w:rPr>
          <w:rFonts w:ascii="Times New Roman" w:hAnsi="Times New Roman" w:cs="Times New Roman" w:hint="eastAsia"/>
          <w:color w:val="auto"/>
          <w:highlight w:val="none"/>
          <w:lang w:eastAsia="zh-CN"/>
        </w:rPr>
        <w:t xml:space="preserve">开设培训</w:t>
      </w:r>
      <w:r>
        <w:rPr>
          <w:rFonts w:ascii="Times New Roman" w:hAnsi="Times New Roman" w:cs="Times New Roman" w:hint="eastAsia"/>
          <w:color w:val="auto"/>
          <w:highlight w:val="none"/>
          <w:lang w:val="en-US" w:eastAsia="zh-CN"/>
        </w:rPr>
        <w:t xml:space="preserve">期数达到5期</w:t>
      </w:r>
      <w:r>
        <w:rPr>
          <w:rFonts w:cs="Times New Roman" w:hint="eastAsia"/>
          <w:color w:val="auto"/>
          <w:highlight w:val="none"/>
          <w:lang w:val="en-US" w:eastAsia="zh-CN"/>
        </w:rPr>
        <w:t xml:space="preserve">，</w:t>
      </w:r>
      <w:r>
        <w:rPr>
          <w:rFonts w:ascii="Times New Roman" w:hAnsi="Times New Roman" w:cs="Times New Roman" w:hint="eastAsia"/>
          <w:color w:val="auto"/>
          <w:highlight w:val="none"/>
          <w:lang w:eastAsia="zh-CN"/>
        </w:rPr>
        <w:t xml:space="preserve">技能等级鉴定</w:t>
      </w:r>
      <w:r>
        <w:rPr>
          <w:rFonts w:ascii="Times New Roman" w:hAnsi="Times New Roman" w:cs="Times New Roman" w:hint="eastAsia"/>
          <w:color w:val="auto"/>
          <w:highlight w:val="none"/>
          <w:lang w:val="en-US" w:eastAsia="zh-CN"/>
        </w:rPr>
        <w:t xml:space="preserve">人数达到2000人次</w:t>
      </w:r>
      <w:r>
        <w:rPr>
          <w:rFonts w:ascii="Times New Roman" w:hAnsi="Times New Roman" w:cs="Times New Roman" w:hint="eastAsia"/>
          <w:color w:val="auto"/>
          <w:highlight w:val="none"/>
          <w:lang w:eastAsia="zh-CN"/>
        </w:rPr>
        <w:t xml:space="preserve">，学员培训合格率</w:t>
      </w:r>
      <w:r>
        <w:rPr>
          <w:rFonts w:ascii="Times New Roman" w:hAnsi="Times New Roman" w:cs="Times New Roman" w:hint="eastAsia"/>
          <w:color w:val="auto"/>
          <w:highlight w:val="none"/>
          <w:lang w:val="en-US" w:eastAsia="zh-CN"/>
        </w:rPr>
        <w:t xml:space="preserve">达到80%以上。</w:t>
      </w:r>
    </w:p>
    <w:p>
      <w:pPr>
        <w:bidi w:val="0"/>
        <w:jc w:val="both"/>
        <w:rPr>
          <w:rFonts w:cs="Times New Roman" w:hint="eastAsia"/>
          <w:color w:val="auto"/>
          <w:highlight w:val="none"/>
          <w:lang w:val="en-US" w:eastAsia="zh-CN"/>
        </w:rPr>
      </w:pPr>
      <w:bookmarkStart w:id="52" w:name="OLE_LINK27"/>
      <w:r>
        <w:rPr>
          <w:rFonts w:ascii="Times New Roman" w:eastAsia="仿宋_GB2312" w:hAnsi="Times New Roman" w:cs="Times New Roman" w:hint="eastAsia"/>
          <w:color w:val="auto"/>
          <w:kern w:val="2"/>
          <w:sz w:val="32"/>
          <w:szCs w:val="22"/>
          <w:highlight w:val="none"/>
          <w:lang w:val="en-US" w:eastAsia="zh-CN" w:bidi="ar-SA"/>
        </w:rPr>
        <w:t xml:space="preserve">（2）</w:t>
      </w:r>
      <w:bookmarkEnd w:id="52"/>
      <w:r>
        <w:rPr>
          <w:rFonts w:ascii="Times New Roman" w:hAnsi="Times New Roman" w:cs="Times New Roman" w:hint="eastAsia"/>
          <w:color w:val="auto"/>
          <w:kern w:val="2"/>
          <w:sz w:val="32"/>
          <w:szCs w:val="22"/>
          <w:highlight w:val="none"/>
          <w:lang w:val="en-US" w:eastAsia="zh-CN" w:bidi="ar-SA"/>
        </w:rPr>
        <w:t xml:space="preserve">截至</w:t>
      </w:r>
      <w:r>
        <w:rPr>
          <w:rFonts w:cs="Times New Roman" w:hint="eastAsia"/>
          <w:color w:val="auto"/>
          <w:highlight w:val="none"/>
          <w:lang w:val="en-US" w:eastAsia="zh-CN"/>
        </w:rPr>
        <w:t xml:space="preserve">2024年12月31日，外聘教师人数达到15人。外聘教师为我校带来了丰富的行业经验与专业技能。</w:t>
      </w:r>
    </w:p>
    <w:p>
      <w:pPr>
        <w:bidi w:val="0"/>
        <w:rPr>
          <w:rFonts w:hint="default"/>
          <w:lang w:val="en-US" w:eastAsia="zh-CN"/>
        </w:rPr>
      </w:pPr>
      <w:r>
        <w:rPr>
          <w:rFonts w:hint="eastAsia"/>
          <w:lang w:val="en-US" w:eastAsia="zh-CN"/>
        </w:rPr>
        <w:t xml:space="preserve">（3）针对水电维修维护成本，2024年我校将与专业维修公司签订长期合作协议，降低单次维修费用，力争将水电维修维护成本控制在</w:t>
      </w:r>
      <w:r>
        <w:rPr>
          <w:rFonts w:hint="default"/>
          <w:lang w:val="en-US" w:eastAsia="zh-CN"/>
        </w:rPr>
        <w:t xml:space="preserve">60.16万元</w:t>
      </w:r>
      <w:r>
        <w:rPr>
          <w:rFonts w:hint="eastAsia"/>
          <w:lang w:val="en-US" w:eastAsia="zh-CN"/>
        </w:rPr>
        <w:t xml:space="preserve">。</w:t>
      </w:r>
    </w:p>
    <w:p>
      <w:pPr>
        <w:pStyle w:val="Heading2"/>
        <w:bidi w:val="0"/>
        <w:jc w:val="both"/>
        <w:outlineLvl w:val="0"/>
        <w:rPr>
          <w:rFonts w:ascii="Times New Roman" w:eastAsia="黑体" w:hAnsi="Times New Roman" w:cs="Times New Roman" w:hint="default"/>
          <w:color w:val="auto"/>
          <w:highlight w:val="none"/>
        </w:rPr>
      </w:pPr>
      <w:bookmarkStart w:id="53" w:name="_Toc25321"/>
      <w:bookmarkStart w:id="54" w:name="_Toc31122"/>
      <w:bookmarkStart w:id="55" w:name="_Toc6156"/>
      <w:bookmarkStart w:id="56" w:name="_Toc857"/>
      <w:bookmarkStart w:id="57" w:name="_Toc8522"/>
      <w:bookmarkStart w:id="58" w:name="_Toc6534"/>
      <w:r>
        <w:rPr>
          <w:rFonts w:ascii="Times New Roman" w:eastAsia="黑体" w:hAnsi="Times New Roman" w:cs="Times New Roman" w:hint="default"/>
          <w:color w:val="auto"/>
          <w:highlight w:val="none"/>
        </w:rPr>
        <w:t xml:space="preserve">二、绩效评价工作开展情况</w:t>
      </w:r>
      <w:bookmarkEnd w:id="53"/>
      <w:bookmarkEnd w:id="54"/>
      <w:bookmarkEnd w:id="55"/>
      <w:bookmarkEnd w:id="56"/>
      <w:bookmarkEnd w:id="57"/>
      <w:bookmarkEnd w:id="58"/>
    </w:p>
    <w:p>
      <w:pPr>
        <w:pStyle w:val="Heading3"/>
        <w:bidi w:val="0"/>
        <w:jc w:val="both"/>
        <w:outlineLvl w:val="1"/>
        <w:rPr>
          <w:rFonts w:ascii="Times New Roman" w:eastAsia="楷体" w:hAnsi="Times New Roman" w:cs="Times New Roman" w:hint="default"/>
          <w:color w:val="auto"/>
          <w:highlight w:val="none"/>
        </w:rPr>
      </w:pPr>
      <w:bookmarkStart w:id="59" w:name="_Toc32557"/>
      <w:bookmarkStart w:id="60" w:name="_Toc10300"/>
      <w:bookmarkStart w:id="61" w:name="_Toc19597"/>
      <w:bookmarkStart w:id="62" w:name="_Toc30569"/>
      <w:bookmarkStart w:id="63" w:name="_Toc17516"/>
      <w:r>
        <w:rPr>
          <w:rFonts w:ascii="Times New Roman" w:eastAsia="楷体" w:hAnsi="Times New Roman" w:cs="Times New Roman" w:hint="default"/>
          <w:color w:val="auto"/>
          <w:highlight w:val="none"/>
        </w:rPr>
        <w:t xml:space="preserve">（一）绩效评价目的、对象和范围</w:t>
      </w:r>
      <w:bookmarkEnd w:id="59"/>
      <w:bookmarkEnd w:id="60"/>
      <w:bookmarkEnd w:id="61"/>
      <w:bookmarkEnd w:id="62"/>
      <w:bookmarkEnd w:id="63"/>
    </w:p>
    <w:p>
      <w:pPr>
        <w:bidi w:val="0"/>
        <w:jc w:val="both"/>
        <w:rPr>
          <w:rFonts w:ascii="Times New Roman" w:eastAsia="仿宋_GB2312" w:hAnsi="Times New Roman" w:cs="Times New Roman" w:hint="default"/>
          <w:b/>
          <w:bCs/>
          <w:color w:val="auto"/>
          <w:highlight w:val="none"/>
        </w:rPr>
      </w:pPr>
      <w:bookmarkStart w:id="64" w:name="_Toc11562"/>
      <w:bookmarkStart w:id="65" w:name="_Toc12440"/>
      <w:r>
        <w:rPr>
          <w:rFonts w:ascii="Times New Roman" w:eastAsia="仿宋_GB2312" w:hAnsi="Times New Roman" w:cs="Times New Roman" w:hint="default"/>
          <w:b/>
          <w:bCs/>
          <w:color w:val="auto"/>
          <w:highlight w:val="none"/>
        </w:rPr>
        <w:t xml:space="preserve">1.绩效评价目的</w:t>
      </w:r>
      <w:bookmarkEnd w:id="64"/>
      <w:bookmarkEnd w:id="65"/>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本次绩效评价遵循财政部《关于印发</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项目支出绩效评价管理办法</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的通知》（财预〔2020〕10号）文件精神，对</w:t>
      </w:r>
      <w:r>
        <w:rPr>
          <w:rFonts w:ascii="Times New Roman" w:hAnsi="Times New Roman" w:cs="Times New Roman" w:hint="eastAsia"/>
          <w:color w:val="auto"/>
          <w:highlight w:val="none"/>
          <w:lang w:val="en-US" w:eastAsia="zh-CN"/>
        </w:rPr>
        <w:t xml:space="preserve">2024年教育及培训经费（自有资金）</w:t>
      </w:r>
      <w:r>
        <w:rPr>
          <w:rFonts w:ascii="Times New Roman" w:eastAsia="仿宋_GB2312" w:hAnsi="Times New Roman" w:cs="Times New Roman" w:hint="default"/>
          <w:color w:val="auto"/>
          <w:highlight w:val="none"/>
        </w:rPr>
        <w:t xml:space="preserve">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具体绩效评价的目的细分如下：</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bidi w:val="0"/>
        <w:jc w:val="both"/>
        <w:rPr>
          <w:rFonts w:ascii="Times New Roman" w:eastAsia="仿宋_GB2312" w:hAnsi="Times New Roman" w:cs="Times New Roman" w:hint="default"/>
          <w:b/>
          <w:bCs/>
          <w:color w:val="auto"/>
          <w:highlight w:val="none"/>
        </w:rPr>
      </w:pPr>
      <w:bookmarkStart w:id="66" w:name="_Toc8924"/>
      <w:bookmarkStart w:id="67" w:name="_Toc2159"/>
      <w:r>
        <w:rPr>
          <w:rFonts w:ascii="Times New Roman" w:eastAsia="仿宋_GB2312" w:hAnsi="Times New Roman" w:cs="Times New Roman" w:hint="default"/>
          <w:b/>
          <w:bCs/>
          <w:color w:val="auto"/>
          <w:highlight w:val="none"/>
        </w:rPr>
        <w:t xml:space="preserve">2.绩效评价对象</w:t>
      </w:r>
      <w:bookmarkEnd w:id="66"/>
      <w:r>
        <w:rPr>
          <w:rFonts w:ascii="Times New Roman" w:eastAsia="仿宋_GB2312" w:hAnsi="Times New Roman" w:cs="Times New Roman" w:hint="default"/>
          <w:b/>
          <w:bCs/>
          <w:color w:val="auto"/>
          <w:highlight w:val="none"/>
        </w:rPr>
        <w:t xml:space="preserve">和范围</w:t>
      </w:r>
      <w:bookmarkEnd w:id="67"/>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根据《财政支出绩效评价管理办法》（财预〔2020〕10号）文件要求，对</w:t>
      </w:r>
      <w:r>
        <w:rPr>
          <w:rFonts w:ascii="Times New Roman" w:hAnsi="Times New Roman" w:cs="Times New Roman" w:hint="eastAsia"/>
          <w:color w:val="auto"/>
          <w:highlight w:val="none"/>
          <w:lang w:val="en-US" w:eastAsia="zh-CN"/>
        </w:rPr>
        <w:t xml:space="preserve">2024年教育及培训经费（自有资金）</w:t>
      </w:r>
      <w:r>
        <w:rPr>
          <w:rFonts w:ascii="Times New Roman" w:eastAsia="仿宋_GB2312" w:hAnsi="Times New Roman" w:cs="Times New Roman" w:hint="default"/>
          <w:color w:val="auto"/>
          <w:highlight w:val="none"/>
        </w:rPr>
        <w:t xml:space="preserve">开展绩效评价，本次绩效评价范围主要围绕项目决策（包括项目</w:t>
      </w:r>
      <w:r>
        <w:rPr>
          <w:rFonts w:ascii="Times New Roman" w:hAnsi="Times New Roman" w:cs="Times New Roman" w:hint="eastAsia"/>
          <w:color w:val="auto"/>
          <w:highlight w:val="none"/>
          <w:lang w:eastAsia="zh-CN"/>
        </w:rPr>
        <w:t xml:space="preserve">实施</w:t>
      </w:r>
      <w:r>
        <w:rPr>
          <w:rFonts w:ascii="Times New Roman" w:eastAsia="仿宋_GB2312" w:hAnsi="Times New Roman" w:cs="Times New Roman" w:hint="default"/>
          <w:color w:val="auto"/>
          <w:highlight w:val="none"/>
        </w:rPr>
        <w:t xml:space="preserve">、绩效目标、资金投入）、项目过程（包括资金管理、组织实施）、项目产出（包括产出数量、质量、时效、成本）和项目效益等进行评价。</w:t>
      </w:r>
    </w:p>
    <w:p>
      <w:pPr>
        <w:pStyle w:val="Heading3"/>
        <w:bidi w:val="0"/>
        <w:jc w:val="both"/>
        <w:outlineLvl w:val="1"/>
        <w:rPr>
          <w:rFonts w:ascii="楷体" w:eastAsia="楷体" w:hAnsi="楷体" w:cs="楷体" w:hint="eastAsia"/>
          <w:color w:val="auto"/>
          <w:highlight w:val="none"/>
        </w:rPr>
      </w:pPr>
      <w:bookmarkStart w:id="68" w:name="_Toc17158"/>
      <w:bookmarkStart w:id="69" w:name="_Toc13496"/>
      <w:bookmarkStart w:id="70" w:name="_Toc6384"/>
      <w:bookmarkStart w:id="71" w:name="_Toc15409"/>
      <w:bookmarkStart w:id="72" w:name="_Toc19566"/>
      <w:r>
        <w:rPr>
          <w:rFonts w:ascii="楷体" w:eastAsia="楷体" w:hAnsi="楷体" w:cs="楷体" w:hint="eastAsia"/>
          <w:color w:val="auto"/>
          <w:highlight w:val="none"/>
        </w:rPr>
        <w:t xml:space="preserve">（二）绩效评价原则、评价指标体系、评价方法、评价标准</w:t>
      </w:r>
      <w:bookmarkEnd w:id="68"/>
      <w:bookmarkEnd w:id="69"/>
      <w:bookmarkEnd w:id="70"/>
      <w:bookmarkEnd w:id="71"/>
      <w:bookmarkEnd w:id="72"/>
    </w:p>
    <w:p>
      <w:pPr>
        <w:bidi w:val="0"/>
        <w:jc w:val="both"/>
        <w:rPr>
          <w:rFonts w:ascii="Times New Roman" w:eastAsia="仿宋_GB2312" w:hAnsi="Times New Roman" w:cs="Times New Roman" w:hint="default"/>
          <w:b/>
          <w:bCs/>
          <w:color w:val="auto"/>
          <w:highlight w:val="none"/>
        </w:rPr>
      </w:pPr>
      <w:bookmarkStart w:id="73" w:name="_Toc18268"/>
      <w:bookmarkStart w:id="74" w:name="_Toc23487"/>
      <w:r>
        <w:rPr>
          <w:rFonts w:ascii="Times New Roman" w:eastAsia="仿宋_GB2312" w:hAnsi="Times New Roman" w:cs="Times New Roman" w:hint="default"/>
          <w:b/>
          <w:bCs/>
          <w:color w:val="auto"/>
          <w:highlight w:val="none"/>
        </w:rPr>
        <w:t xml:space="preserve">1.绩效评价原则</w:t>
      </w:r>
      <w:bookmarkEnd w:id="73"/>
      <w:bookmarkEnd w:id="74"/>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（1）科学公正。绩效评价应当运用科学合理的方法，按照规范的程序，对项目绩效进行客观、</w:t>
      </w:r>
      <w:r>
        <w:rPr>
          <w:rFonts w:ascii="Times New Roman" w:eastAsia="仿宋_GB2312" w:hAnsi="Times New Roman" w:cs="Times New Roman" w:hint="default"/>
          <w:color w:val="auto"/>
          <w:highlight w:val="none"/>
          <w:lang w:eastAsia="zh-CN"/>
        </w:rPr>
        <w:t xml:space="preserve">公正地反映</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（2）统筹兼顾。单位自评应由项目单位自主实施，即“谁支出、谁自评”。</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（3）激励约束。绩效评价结果应与预算安排、政策调整、改进管理实质性挂钩，体现奖优罚劣和激励相容导向，有效要安排、低效要压减、无效要问责。</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（4）公开透明。</w:t>
      </w:r>
      <w:r>
        <w:rPr>
          <w:rFonts w:ascii="Times New Roman" w:eastAsia="仿宋_GB2312" w:hAnsi="Times New Roman" w:cs="Times New Roman" w:hint="default"/>
          <w:color w:val="auto"/>
          <w:highlight w:val="none"/>
          <w:lang w:val="en-US" w:eastAsia="zh-CN"/>
        </w:rPr>
        <w:t xml:space="preserve">本次项目支出绩效评价结果已依法依规在</w:t>
      </w:r>
      <w:r>
        <w:rPr>
          <w:rFonts w:ascii="Times New Roman" w:hAnsi="Times New Roman" w:cs="Times New Roman" w:hint="eastAsia"/>
          <w:color w:val="auto"/>
          <w:highlight w:val="none"/>
          <w:lang w:val="en-US" w:eastAsia="zh-CN"/>
        </w:rPr>
        <w:t xml:space="preserve">尉犁</w:t>
      </w:r>
      <w:r>
        <w:rPr>
          <w:rFonts w:ascii="Times New Roman" w:eastAsia="仿宋_GB2312" w:hAnsi="Times New Roman" w:cs="Times New Roman" w:hint="default"/>
          <w:color w:val="auto"/>
          <w:highlight w:val="none"/>
          <w:lang w:val="en-US" w:eastAsia="zh-CN"/>
        </w:rPr>
        <w:t xml:space="preserve">县人民政府网站上公开，并自觉接受社会监督</w:t>
      </w:r>
      <w:r>
        <w:rPr>
          <w:rFonts w:ascii="Times New Roman" w:eastAsia="仿宋_GB2312" w:hAnsi="Times New Roman" w:cs="Times New Roman" w:hint="default"/>
          <w:color w:val="auto"/>
          <w:highlight w:val="none"/>
        </w:rPr>
        <w:t xml:space="preserve">。</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根据以上原则，绩效评价应遵循如下要求:</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（1）在数据采集时，采取客观数据，主管部门审查、社会中介组织复查，与问卷调查相结合的形式，以保证各项指标的真实性。</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（2）保证评价结果的真实性、公正性，提高评价报告的公信力。</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ascii="Times New Roman" w:eastAsia="仿宋_GB2312" w:hAnsi="Times New Roman" w:cs="Times New Roman" w:hint="default"/>
          <w:b/>
          <w:bCs/>
          <w:color w:val="auto"/>
          <w:highlight w:val="none"/>
        </w:rPr>
      </w:pPr>
      <w:bookmarkStart w:id="75" w:name="_Toc23112"/>
      <w:bookmarkStart w:id="76" w:name="_Toc28342"/>
      <w:r>
        <w:rPr>
          <w:rFonts w:ascii="Times New Roman" w:eastAsia="仿宋_GB2312" w:hAnsi="Times New Roman" w:cs="Times New Roman" w:hint="default"/>
          <w:b/>
          <w:bCs/>
          <w:color w:val="auto"/>
          <w:highlight w:val="none"/>
        </w:rPr>
        <w:t xml:space="preserve">2.评价指标体系</w:t>
      </w:r>
      <w:bookmarkEnd w:id="75"/>
      <w:bookmarkEnd w:id="76"/>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ascii="Times New Roman" w:eastAsia="仿宋_GB2312" w:hAnsi="Times New Roman" w:cs="Times New Roman" w:hint="default"/>
          <w:color w:val="auto"/>
          <w:highlight w:val="none"/>
        </w:rPr>
      </w:pPr>
      <w:r>
        <w:rPr>
          <w:rFonts w:ascii="Times New Roman" w:hAnsi="Times New Roman" w:cs="Times New Roman" w:hint="eastAsia"/>
          <w:color w:val="auto"/>
          <w:highlight w:val="none"/>
          <w:lang w:val="en-US" w:eastAsia="zh-CN"/>
        </w:rPr>
        <w:t xml:space="preserve">2024年教育及培训经费（自有资金）</w:t>
      </w:r>
      <w:r>
        <w:rPr>
          <w:rFonts w:ascii="Times New Roman" w:eastAsia="仿宋_GB2312" w:hAnsi="Times New Roman" w:cs="Times New Roman" w:hint="default"/>
          <w:color w:val="auto"/>
          <w:highlight w:val="none"/>
        </w:rPr>
        <w:t xml:space="preserve">绩效评价（部门自评）指标体系的设计，是在充分掌握项目状况的基础上，形成</w:t>
      </w:r>
      <w:r>
        <w:rPr>
          <w:rFonts w:ascii="Times New Roman" w:eastAsia="仿宋_GB2312" w:hAnsi="Times New Roman" w:cs="Times New Roman" w:hint="default"/>
          <w:color w:val="auto"/>
          <w:highlight w:val="none"/>
          <w:lang w:val="en-US" w:eastAsia="zh-CN"/>
        </w:rPr>
        <w:t xml:space="preserve">了</w:t>
      </w:r>
      <w:r>
        <w:rPr>
          <w:rFonts w:ascii="Times New Roman" w:hAnsi="Times New Roman" w:cs="Times New Roman" w:hint="eastAsia"/>
          <w:color w:val="auto"/>
          <w:highlight w:val="none"/>
          <w:lang w:val="en-US" w:eastAsia="zh-CN"/>
        </w:rPr>
        <w:t xml:space="preserve">2024年教育及培训经费（自有资金）</w:t>
      </w:r>
      <w:r>
        <w:rPr>
          <w:rFonts w:ascii="Times New Roman" w:eastAsia="仿宋_GB2312" w:hAnsi="Times New Roman" w:cs="Times New Roman" w:hint="default"/>
          <w:color w:val="auto"/>
          <w:highlight w:val="none"/>
          <w:lang w:val="en-US" w:eastAsia="zh-CN"/>
        </w:rPr>
        <w:t xml:space="preserve">的项目支出绩效评价指标体系（部门自评）。本项目设计绩效评价指标体系满分100分。四个级别分别</w:t>
      </w:r>
      <w:r>
        <w:rPr>
          <w:rFonts w:ascii="Times New Roman" w:eastAsia="仿宋_GB2312" w:hAnsi="Times New Roman" w:cs="Times New Roman" w:hint="default"/>
          <w:color w:val="auto"/>
          <w:highlight w:val="none"/>
        </w:rPr>
        <w:t xml:space="preserve">是：优、良、中、差，90（含）-100分为优、80（含）-90分为良、60（含）-80分为中、60分以下为差。</w:t>
      </w:r>
    </w:p>
    <w:p>
      <w:pPr>
        <w:bidi w:val="0"/>
        <w:rPr>
          <w:rFonts w:ascii="Times New Roman" w:eastAsia="仿宋_GB2312" w:hAnsi="Times New Roman" w:cs="Times New Roman" w:hint="eastAsia"/>
          <w:color w:val="auto"/>
          <w:highlight w:val="none"/>
          <w:lang w:eastAsia="zh-CN"/>
        </w:rPr>
      </w:pPr>
      <w:r>
        <w:rPr>
          <w:rFonts w:ascii="Times New Roman" w:eastAsia="仿宋_GB2312" w:hAnsi="Times New Roman" w:cs="Times New Roman" w:hint="default"/>
          <w:color w:val="auto"/>
          <w:highlight w:val="none"/>
        </w:rPr>
        <w:t xml:space="preserve">按照财预〔2020〕10号文件关于“原则上产出、效益指标权重不低于60%”的要求，本项目产出、效益指标权重60%（即60分）。</w:t>
      </w:r>
      <w:bookmarkStart w:id="77" w:name="_Toc15680"/>
      <w:bookmarkStart w:id="78" w:name="_Toc10631"/>
      <w:r>
        <w:rPr>
          <w:rFonts w:ascii="Times New Roman" w:hAnsi="Times New Roman" w:cs="Times New Roman" w:hint="eastAsia"/>
          <w:color w:val="auto"/>
          <w:highlight w:val="none"/>
          <w:lang w:eastAsia="zh-CN"/>
        </w:rPr>
        <w:t xml:space="preserve">（</w:t>
      </w:r>
      <w:r>
        <w:rPr>
          <w:rFonts w:ascii="Times New Roman" w:hAnsi="Times New Roman" w:cs="Times New Roman" w:hint="eastAsia"/>
          <w:color w:val="auto"/>
          <w:highlight w:val="none"/>
          <w:lang w:val="en-US" w:eastAsia="zh-CN"/>
        </w:rPr>
        <w:t xml:space="preserve">详见：附表2</w:t>
      </w:r>
      <w:r>
        <w:rPr>
          <w:rFonts w:ascii="Times New Roman" w:hAnsi="Times New Roman" w:cs="Times New Roman" w:hint="eastAsia"/>
          <w:color w:val="auto"/>
          <w:highlight w:val="none"/>
          <w:lang w:eastAsia="zh-CN"/>
        </w:rPr>
        <w:t xml:space="preserve">）</w:t>
      </w:r>
    </w:p>
    <w:p>
      <w:pPr>
        <w:bidi w:val="0"/>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highlight w:val="none"/>
        </w:rPr>
        <w:t xml:space="preserve">3.绩效评价方法</w:t>
      </w:r>
      <w:bookmarkEnd w:id="77"/>
      <w:bookmarkEnd w:id="78"/>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绩效评价从项目决策、项目过程、项目产出、项目效益四个维度进行评价。评价对象为项目目标实施情况，评价核心为资金的支出完成情况和项目的产出效益。</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本次评价指标中，既有定性指标又有定量指标，各类指标因考核内容不同和客观标准不同存在较大差异，在通过综合分析影响绩效目标实现、实施效果的内外部因素，从而评价本项目绩效。</w:t>
      </w:r>
    </w:p>
    <w:p>
      <w:pPr>
        <w:bidi w:val="0"/>
        <w:jc w:val="both"/>
        <w:rPr>
          <w:rFonts w:ascii="Times New Roman" w:eastAsia="仿宋_GB2312" w:hAnsi="Times New Roman" w:cs="Times New Roman" w:hint="default"/>
          <w:color w:val="auto"/>
          <w:highlight w:val="none"/>
          <w:lang w:val="en-US" w:eastAsia="zh-CN"/>
        </w:rPr>
      </w:pPr>
      <w:r>
        <w:rPr>
          <w:rFonts w:ascii="Times New Roman" w:eastAsia="仿宋_GB2312" w:hAnsi="Times New Roman" w:cs="Times New Roman" w:hint="default"/>
          <w:color w:val="auto"/>
          <w:highlight w:val="none"/>
        </w:rPr>
        <w:t xml:space="preserve">结合</w:t>
      </w:r>
      <w:r>
        <w:rPr>
          <w:rFonts w:ascii="仿宋_GB2312" w:hAnsi="仿宋_GB2312" w:cs="仿宋_GB2312" w:hint="eastAsia"/>
          <w:b w:val="0"/>
          <w:bCs w:val="0"/>
          <w:color w:val="auto"/>
          <w:highlight w:val="none"/>
          <w:lang w:val="en-US" w:eastAsia="zh-CN"/>
        </w:rPr>
        <w:t xml:space="preserve">2024年教育及培训经费（自有资金）</w:t>
      </w:r>
      <w:r>
        <w:rPr>
          <w:rFonts w:ascii="Times New Roman" w:eastAsia="仿宋_GB2312" w:hAnsi="Times New Roman" w:cs="Times New Roman" w:hint="default"/>
          <w:color w:val="auto"/>
          <w:highlight w:val="none"/>
        </w:rPr>
        <w:t xml:space="preserve">的特点，</w:t>
      </w:r>
      <w:r>
        <w:rPr>
          <w:rFonts w:ascii="Times New Roman" w:eastAsia="仿宋_GB2312" w:hAnsi="Times New Roman" w:cs="Times New Roman" w:hint="default"/>
          <w:color w:val="auto"/>
          <w:highlight w:val="none"/>
          <w:lang w:val="en-US" w:eastAsia="zh-CN"/>
        </w:rPr>
        <w:t xml:space="preserve">本项目绩效评价将项目实施情况即实际完成的</w:t>
      </w:r>
      <w:r>
        <w:rPr>
          <w:rFonts w:ascii="Times New Roman" w:hAnsi="Times New Roman" w:cs="Times New Roman" w:hint="eastAsia"/>
          <w:color w:val="auto"/>
          <w:highlight w:val="none"/>
          <w:lang w:val="en-US" w:eastAsia="zh-CN"/>
        </w:rPr>
        <w:t xml:space="preserve">外聘教师人数</w:t>
      </w:r>
      <w:r>
        <w:rPr>
          <w:rFonts w:ascii="Times New Roman" w:eastAsia="仿宋_GB2312" w:hAnsi="Times New Roman" w:cs="Times New Roman" w:hint="default"/>
          <w:color w:val="auto"/>
          <w:highlight w:val="none"/>
          <w:lang w:val="en-US" w:eastAsia="zh-CN"/>
        </w:rPr>
        <w:t xml:space="preserve">、</w:t>
      </w:r>
      <w:r>
        <w:rPr>
          <w:rFonts w:ascii="Times New Roman" w:hAnsi="Times New Roman" w:cs="Times New Roman" w:hint="eastAsia"/>
          <w:color w:val="auto"/>
          <w:highlight w:val="none"/>
          <w:lang w:val="en-US" w:eastAsia="zh-CN"/>
        </w:rPr>
        <w:t xml:space="preserve">开设培训期数、技能鉴定等级人次数</w:t>
      </w:r>
      <w:r>
        <w:rPr>
          <w:rFonts w:ascii="Times New Roman" w:eastAsia="仿宋_GB2312" w:hAnsi="Times New Roman" w:cs="Times New Roman" w:hint="default"/>
          <w:color w:val="auto"/>
          <w:highlight w:val="none"/>
          <w:lang w:val="en-US" w:eastAsia="zh-CN"/>
        </w:rPr>
        <w:t xml:space="preserve">等指标与年初设定的目标值进行比较</w:t>
      </w:r>
      <w:r>
        <w:rPr>
          <w:rFonts w:ascii="Times New Roman" w:eastAsia="仿宋_GB2312" w:hAnsi="Times New Roman" w:cs="Times New Roman" w:hint="default"/>
          <w:color w:val="auto"/>
          <w:highlight w:val="none"/>
        </w:rPr>
        <w:t xml:space="preserve">。</w:t>
      </w:r>
      <w:r>
        <w:rPr>
          <w:rFonts w:ascii="Times New Roman" w:hAnsi="Times New Roman" w:cs="Times New Roman" w:hint="eastAsia"/>
          <w:b w:val="0"/>
          <w:bCs w:val="0"/>
          <w:color w:val="auto"/>
          <w:highlight w:val="none"/>
          <w:lang w:val="en-US" w:eastAsia="zh-CN"/>
        </w:rPr>
        <w:t xml:space="preserve">通过对培训学员进行问卷及抽样调查等方式，评价本项目实施后受益对象对项目实施效果的满意程度，对财政资金使用效果进行评判，评价绩效目标实现程度。</w:t>
      </w:r>
      <w:r>
        <w:rPr>
          <w:rFonts w:ascii="Times New Roman" w:eastAsia="仿宋_GB2312" w:hAnsi="Times New Roman" w:cs="Times New Roman" w:hint="default"/>
          <w:color w:val="auto"/>
          <w:highlight w:val="none"/>
          <w:lang w:val="en-US" w:eastAsia="zh-CN"/>
        </w:rPr>
        <w:t xml:space="preserve">因此，采取的</w:t>
      </w:r>
      <w:r>
        <w:rPr>
          <w:rFonts w:ascii="Times New Roman" w:eastAsia="仿宋_GB2312" w:hAnsi="Times New Roman" w:cs="Times New Roman" w:hint="default"/>
          <w:color w:val="auto"/>
          <w:highlight w:val="none"/>
        </w:rPr>
        <w:t xml:space="preserve">绩效评价方法</w:t>
      </w:r>
      <w:r>
        <w:rPr>
          <w:rFonts w:ascii="Times New Roman" w:eastAsia="仿宋_GB2312" w:hAnsi="Times New Roman" w:cs="Times New Roman" w:hint="default"/>
          <w:color w:val="auto"/>
          <w:highlight w:val="none"/>
          <w:lang w:val="en-US" w:eastAsia="zh-CN"/>
        </w:rPr>
        <w:t xml:space="preserve">是</w:t>
      </w:r>
      <w:r>
        <w:rPr>
          <w:rFonts w:ascii="Times New Roman" w:eastAsia="仿宋_GB2312" w:hAnsi="Times New Roman" w:cs="Times New Roman" w:hint="default"/>
          <w:color w:val="auto"/>
          <w:highlight w:val="none"/>
        </w:rPr>
        <w:t xml:space="preserve">：比较法</w:t>
      </w:r>
      <w:r>
        <w:rPr>
          <w:rFonts w:ascii="Times New Roman" w:hAnsi="Times New Roman" w:cs="Times New Roman" w:hint="eastAsia"/>
          <w:color w:val="auto"/>
          <w:highlight w:val="none"/>
          <w:lang w:eastAsia="zh-CN"/>
        </w:rPr>
        <w:t xml:space="preserve">、</w:t>
      </w:r>
      <w:r>
        <w:rPr>
          <w:rFonts w:ascii="Times New Roman" w:hAnsi="Times New Roman" w:cs="Times New Roman" w:hint="eastAsia"/>
          <w:color w:val="auto"/>
          <w:highlight w:val="none"/>
          <w:lang w:val="en-US" w:eastAsia="zh-CN"/>
        </w:rPr>
        <w:t xml:space="preserve">公众评判法</w:t>
      </w:r>
      <w:r>
        <w:rPr>
          <w:rFonts w:ascii="Times New Roman" w:eastAsia="仿宋_GB2312" w:hAnsi="Times New Roman" w:cs="Times New Roman" w:hint="default"/>
          <w:color w:val="auto"/>
          <w:highlight w:val="none"/>
          <w:lang w:eastAsia="zh-CN"/>
        </w:rPr>
        <w:t xml:space="preserve">。</w:t>
      </w:r>
    </w:p>
    <w:p>
      <w:pPr>
        <w:bidi w:val="0"/>
        <w:jc w:val="both"/>
        <w:rPr>
          <w:rFonts w:ascii="Times New Roman" w:eastAsia="仿宋_GB2312" w:hAnsi="Times New Roman" w:cs="Times New Roman" w:hint="default"/>
          <w:b/>
          <w:bCs/>
          <w:color w:val="auto"/>
          <w:highlight w:val="none"/>
        </w:rPr>
      </w:pPr>
      <w:bookmarkStart w:id="79" w:name="_Toc3155"/>
      <w:bookmarkStart w:id="80" w:name="_Toc15525"/>
      <w:r>
        <w:rPr>
          <w:rFonts w:ascii="Times New Roman" w:eastAsia="仿宋_GB2312" w:hAnsi="Times New Roman" w:cs="Times New Roman" w:hint="default"/>
          <w:b/>
          <w:bCs/>
          <w:color w:val="auto"/>
          <w:highlight w:val="none"/>
        </w:rPr>
        <w:t xml:space="preserve">4.绩效评价标准</w:t>
      </w:r>
      <w:bookmarkEnd w:id="79"/>
      <w:bookmarkEnd w:id="80"/>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绩效评价标准通常包括计划标准、行业标准、历史标准等，用于对绩效指标完成情况进行比较。</w:t>
      </w:r>
    </w:p>
    <w:p>
      <w:pPr>
        <w:pStyle w:val="CommentText"/>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结合</w:t>
      </w:r>
      <w:r>
        <w:rPr>
          <w:rFonts w:ascii="仿宋_GB2312" w:hAnsi="仿宋_GB2312" w:cs="仿宋_GB2312" w:hint="eastAsia"/>
          <w:b w:val="0"/>
          <w:bCs w:val="0"/>
          <w:color w:val="auto"/>
          <w:highlight w:val="none"/>
          <w:lang w:val="en-US" w:eastAsia="zh-CN"/>
        </w:rPr>
        <w:t xml:space="preserve">2024年教育及培训经费（自有资金）</w:t>
      </w:r>
      <w:r>
        <w:rPr>
          <w:rFonts w:ascii="Times New Roman" w:eastAsia="仿宋_GB2312" w:hAnsi="Times New Roman" w:cs="Times New Roman" w:hint="default"/>
          <w:color w:val="auto"/>
          <w:highlight w:val="none"/>
        </w:rPr>
        <w:t xml:space="preserve">的特点，</w:t>
      </w:r>
      <w:bookmarkStart w:id="81" w:name="_Toc30219"/>
      <w:bookmarkStart w:id="82" w:name="_Toc26411"/>
      <w:bookmarkStart w:id="83" w:name="_Toc17851"/>
      <w:bookmarkStart w:id="84" w:name="_Toc15381"/>
      <w:r>
        <w:rPr>
          <w:rFonts w:ascii="Times New Roman" w:eastAsia="仿宋_GB2312" w:hAnsi="Times New Roman" w:cs="Times New Roman" w:hint="default"/>
          <w:bCs/>
          <w:color w:val="auto"/>
          <w:kern w:val="2"/>
          <w:sz w:val="32"/>
          <w:szCs w:val="32"/>
          <w:highlight w:val="none"/>
          <w:lang w:val="en-US" w:eastAsia="zh-CN" w:bidi="ar-SA"/>
        </w:rPr>
        <w:t xml:space="preserve">本项目绩效评价以预先制定的</w:t>
      </w:r>
      <w:r>
        <w:rPr>
          <w:rFonts w:ascii="仿宋_GB2312" w:hAnsi="仿宋_GB2312" w:cs="仿宋_GB2312" w:hint="eastAsia"/>
          <w:b w:val="0"/>
          <w:bCs w:val="0"/>
          <w:color w:val="auto"/>
          <w:highlight w:val="none"/>
          <w:lang w:val="en-US" w:eastAsia="zh-CN"/>
        </w:rPr>
        <w:t xml:space="preserve">2024年教育及培训经费（自有资金）</w:t>
      </w:r>
      <w:r>
        <w:rPr>
          <w:rFonts w:ascii="Times New Roman" w:eastAsia="仿宋_GB2312" w:hAnsi="Times New Roman" w:cs="Times New Roman" w:hint="default"/>
          <w:bCs/>
          <w:color w:val="auto"/>
          <w:kern w:val="2"/>
          <w:sz w:val="32"/>
          <w:szCs w:val="32"/>
          <w:highlight w:val="none"/>
          <w:lang w:val="en-US" w:eastAsia="zh-CN" w:bidi="ar-SA"/>
        </w:rPr>
        <w:t xml:space="preserve">为计划数作为评价标准；同时参照</w:t>
      </w:r>
      <w:r>
        <w:rPr>
          <w:rFonts w:ascii="Times New Roman" w:eastAsia="仿宋_GB2312" w:hAnsi="Times New Roman" w:cs="Times New Roman" w:hint="default"/>
          <w:b w:val="0"/>
          <w:color w:val="auto"/>
          <w:kern w:val="2"/>
          <w:sz w:val="32"/>
          <w:szCs w:val="22"/>
          <w:highlight w:val="none"/>
          <w:lang w:val="en-US" w:eastAsia="zh-CN" w:bidi="ar-SA"/>
        </w:rPr>
        <w:t xml:space="preserve">有关同类项目建设的行业标准</w:t>
      </w:r>
      <w:r>
        <w:rPr>
          <w:rFonts w:ascii="Times New Roman" w:eastAsia="仿宋_GB2312" w:hAnsi="Times New Roman" w:cs="Times New Roman" w:hint="default"/>
          <w:bCs/>
          <w:color w:val="auto"/>
          <w:kern w:val="2"/>
          <w:sz w:val="32"/>
          <w:szCs w:val="32"/>
          <w:highlight w:val="none"/>
          <w:lang w:val="en-US" w:eastAsia="zh-CN" w:bidi="ar-SA"/>
        </w:rPr>
        <w:t xml:space="preserve">来制定评价标准。因此，采取的绩效评价标准为：计划标准。</w:t>
      </w:r>
    </w:p>
    <w:p>
      <w:pPr>
        <w:pStyle w:val="Heading3"/>
        <w:bidi w:val="0"/>
        <w:jc w:val="both"/>
        <w:outlineLvl w:val="1"/>
        <w:rPr>
          <w:rFonts w:ascii="楷体" w:eastAsia="楷体" w:hAnsi="楷体" w:cs="楷体" w:hint="eastAsia"/>
          <w:color w:val="auto"/>
          <w:highlight w:val="none"/>
        </w:rPr>
      </w:pPr>
      <w:bookmarkStart w:id="85" w:name="_Toc12336"/>
      <w:r>
        <w:rPr>
          <w:rFonts w:ascii="楷体" w:eastAsia="楷体" w:hAnsi="楷体" w:cs="楷体" w:hint="eastAsia"/>
          <w:color w:val="auto"/>
          <w:highlight w:val="none"/>
        </w:rPr>
        <w:t xml:space="preserve">（三）绩效评价工作过程</w:t>
      </w:r>
      <w:bookmarkEnd w:id="81"/>
      <w:bookmarkEnd w:id="82"/>
      <w:bookmarkEnd w:id="83"/>
      <w:bookmarkEnd w:id="84"/>
      <w:bookmarkEnd w:id="85"/>
    </w:p>
    <w:p>
      <w:pPr>
        <w:bidi w:val="0"/>
        <w:jc w:val="both"/>
        <w:rPr>
          <w:rFonts w:ascii="Times New Roman" w:eastAsia="仿宋_GB2312" w:hAnsi="Times New Roman" w:cs="Times New Roman" w:hint="eastAsia"/>
          <w:b/>
          <w:bCs/>
          <w:color w:val="auto"/>
          <w:highlight w:val="none"/>
          <w:lang w:eastAsia="zh-CN"/>
        </w:rPr>
      </w:pPr>
      <w:bookmarkStart w:id="86" w:name="_Toc22987"/>
      <w:bookmarkStart w:id="87" w:name="_Toc30911"/>
      <w:bookmarkStart w:id="88" w:name="_Toc27442"/>
      <w:bookmarkStart w:id="89" w:name="_Toc31054"/>
      <w:bookmarkStart w:id="90" w:name="_Toc17595"/>
      <w:r>
        <w:rPr>
          <w:rFonts w:ascii="Times New Roman" w:eastAsia="仿宋_GB2312" w:hAnsi="Times New Roman" w:cs="Times New Roman" w:hint="default"/>
          <w:b/>
          <w:bCs/>
          <w:color w:val="auto"/>
          <w:highlight w:val="none"/>
        </w:rPr>
        <w:t xml:space="preserve">1.前期准备</w:t>
      </w:r>
      <w:bookmarkEnd w:id="86"/>
      <w:bookmarkEnd w:id="87"/>
      <w:bookmarkEnd w:id="88"/>
      <w:bookmarkEnd w:id="89"/>
      <w:bookmarkEnd w:id="90"/>
      <w:r>
        <w:rPr>
          <w:rFonts w:ascii="Times New Roman" w:hAnsi="Times New Roman" w:cs="Times New Roman" w:hint="eastAsia"/>
          <w:b/>
          <w:bCs/>
          <w:color w:val="auto"/>
          <w:highlight w:val="none"/>
          <w:lang w:eastAsia="zh-CN"/>
        </w:rPr>
        <w:t xml:space="preserve">（</w:t>
      </w:r>
      <w:r>
        <w:rPr>
          <w:rFonts w:ascii="Times New Roman" w:hAnsi="Times New Roman" w:cs="Times New Roman" w:hint="eastAsia"/>
          <w:b/>
          <w:bCs/>
          <w:color w:val="auto"/>
          <w:highlight w:val="none"/>
          <w:lang w:val="en-US" w:eastAsia="zh-CN"/>
        </w:rPr>
        <w:t xml:space="preserve">2025年2月15日-2025年2月28日</w:t>
      </w:r>
      <w:r>
        <w:rPr>
          <w:rFonts w:ascii="Times New Roman" w:hAnsi="Times New Roman" w:cs="Times New Roman" w:hint="eastAsia"/>
          <w:b/>
          <w:bCs/>
          <w:color w:val="auto"/>
          <w:highlight w:val="none"/>
          <w:lang w:eastAsia="zh-CN"/>
        </w:rPr>
        <w:t xml:space="preserve">）</w:t>
      </w:r>
    </w:p>
    <w:p>
      <w:pPr>
        <w:spacing w:line="600" w:lineRule="exact"/>
        <w:ind w:firstLine="640"/>
        <w:jc w:val="both"/>
        <w:rPr>
          <w:rFonts w:ascii="Times New Roman" w:eastAsia="仿宋_GB2312" w:hAnsi="Times New Roman" w:cs="Times New Roman" w:hint="default"/>
          <w:bCs/>
          <w:color w:val="auto"/>
          <w:szCs w:val="32"/>
          <w:highlight w:val="none"/>
        </w:rPr>
      </w:pPr>
      <w:bookmarkStart w:id="91" w:name="_Toc2579"/>
      <w:r>
        <w:rPr>
          <w:rFonts w:ascii="Times New Roman" w:eastAsia="仿宋_GB2312" w:hAnsi="Times New Roman" w:cs="Times New Roman" w:hint="default"/>
          <w:bCs/>
          <w:color w:val="auto"/>
          <w:szCs w:val="32"/>
          <w:highlight w:val="none"/>
        </w:rPr>
        <w:t xml:space="preserve">按照《项目支出绩效评价管理办法》（财预〔2020〕10号）文件要求，</w:t>
      </w:r>
      <w:r>
        <w:rPr>
          <w:rFonts w:ascii="Times New Roman" w:hAnsi="Times New Roman" w:cs="Times New Roman" w:hint="eastAsia"/>
          <w:color w:val="auto"/>
          <w:highlight w:val="none"/>
          <w:lang w:val="en-US" w:eastAsia="zh-CN"/>
        </w:rPr>
        <w:t xml:space="preserve">尉犁</w:t>
      </w:r>
      <w:r>
        <w:rPr>
          <w:rFonts w:ascii="Times New Roman" w:eastAsia="仿宋_GB2312" w:hAnsi="Times New Roman" w:cs="Times New Roman" w:hint="default"/>
          <w:color w:val="auto"/>
          <w:highlight w:val="none"/>
        </w:rPr>
        <w:t xml:space="preserve">县</w:t>
      </w:r>
      <w:r>
        <w:rPr>
          <w:rFonts w:ascii="Times New Roman" w:hAnsi="Times New Roman" w:cs="Times New Roman" w:hint="eastAsia"/>
          <w:color w:val="auto"/>
          <w:highlight w:val="none"/>
          <w:lang w:val="en-US" w:eastAsia="zh-CN"/>
        </w:rPr>
        <w:t xml:space="preserve">技工学校</w:t>
      </w:r>
      <w:r>
        <w:rPr>
          <w:rFonts w:ascii="Times New Roman" w:eastAsia="仿宋_GB2312" w:hAnsi="Times New Roman" w:cs="Times New Roman" w:hint="default"/>
          <w:bCs/>
          <w:color w:val="auto"/>
          <w:szCs w:val="32"/>
          <w:highlight w:val="none"/>
        </w:rPr>
        <w:t xml:space="preserve">成立了绩效评价小组，对项目实施的全过程，收集、整理项目实施的相关资料，了解项目实施情况和资金支付情况。从项目内容出发，结合项目预期目标，制定绩效评价的指标体系。</w:t>
      </w:r>
    </w:p>
    <w:p>
      <w:pPr>
        <w:spacing w:line="600" w:lineRule="exact"/>
        <w:ind w:firstLine="640"/>
        <w:jc w:val="both"/>
        <w:rPr>
          <w:rFonts w:ascii="Times New Roman" w:hAnsi="Times New Roman" w:cs="Times New Roman" w:hint="eastAsia"/>
          <w:bCs/>
          <w:color w:val="auto"/>
          <w:szCs w:val="32"/>
          <w:highlight w:val="none"/>
          <w:lang w:val="en-US" w:eastAsia="zh-CN"/>
        </w:rPr>
      </w:pPr>
      <w:r>
        <w:rPr>
          <w:rFonts w:ascii="Times New Roman" w:hAnsi="Times New Roman" w:cs="Times New Roman" w:hint="eastAsia"/>
          <w:bCs/>
          <w:color w:val="auto"/>
          <w:szCs w:val="32"/>
          <w:highlight w:val="none"/>
          <w:lang w:val="en-US" w:eastAsia="zh-CN"/>
        </w:rPr>
        <w:t xml:space="preserve">绩效评价工作小组人员名单及分工如下：</w:t>
      </w:r>
    </w:p>
    <w:p>
      <w:pPr>
        <w:bidi w:val="0"/>
        <w:rPr>
          <w:rFonts w:hint="eastAsia"/>
          <w:color w:val="auto"/>
          <w:highlight w:val="none"/>
          <w:lang w:val="en-US" w:eastAsia="zh-CN"/>
        </w:rPr>
      </w:pPr>
      <w:r>
        <w:rPr>
          <w:rFonts w:hint="eastAsia"/>
          <w:color w:val="auto"/>
          <w:highlight w:val="none"/>
          <w:lang w:val="en-US" w:eastAsia="zh-CN"/>
        </w:rPr>
        <w:t xml:space="preserve">评价小组组长：孟新云，主要负责协调相关科室、部门对项目整体运行情况进行验收、评估。</w:t>
      </w:r>
    </w:p>
    <w:p>
      <w:pPr>
        <w:bidi w:val="0"/>
        <w:rPr>
          <w:rFonts w:hint="default"/>
          <w:color w:val="auto"/>
          <w:highlight w:val="none"/>
          <w:lang w:val="en-US" w:eastAsia="zh-CN"/>
        </w:rPr>
      </w:pPr>
      <w:r>
        <w:rPr>
          <w:rFonts w:hint="eastAsia"/>
          <w:color w:val="auto"/>
          <w:highlight w:val="none"/>
          <w:lang w:val="en-US" w:eastAsia="zh-CN"/>
        </w:rPr>
        <w:t xml:space="preserve">评价小组组员：米热古丽，主要负责制定评价指标体系及评价标准。</w:t>
      </w:r>
    </w:p>
    <w:p>
      <w:pPr>
        <w:rPr>
          <w:rFonts w:hint="default"/>
          <w:color w:val="auto"/>
          <w:highlight w:val="none"/>
          <w:lang w:val="en-US" w:eastAsia="zh-CN"/>
        </w:rPr>
      </w:pPr>
      <w:r>
        <w:rPr>
          <w:rFonts w:hint="eastAsia"/>
          <w:color w:val="auto"/>
          <w:highlight w:val="none"/>
          <w:lang w:val="en-US" w:eastAsia="zh-CN"/>
        </w:rPr>
        <w:t xml:space="preserve">评价小组组员：热合曼，主要负责</w:t>
      </w:r>
      <w:r>
        <w:rPr>
          <w:rFonts w:ascii="仿宋_GB2312" w:hAnsi="仿宋_GB2312" w:cs="仿宋_GB2312" w:hint="eastAsia"/>
          <w:b w:val="0"/>
          <w:bCs w:val="0"/>
          <w:color w:val="auto"/>
          <w:highlight w:val="none"/>
          <w:lang w:val="en-US" w:eastAsia="zh-CN"/>
        </w:rPr>
        <w:t xml:space="preserve">2024年教育及培训经费（自有资金）</w:t>
      </w:r>
      <w:r>
        <w:rPr>
          <w:rFonts w:hint="eastAsia"/>
          <w:color w:val="auto"/>
          <w:highlight w:val="none"/>
          <w:lang w:val="en-US" w:eastAsia="zh-CN"/>
        </w:rPr>
        <w:t xml:space="preserve">项目实施、监督、评估工作。</w:t>
      </w:r>
    </w:p>
    <w:p>
      <w:pPr>
        <w:bidi w:val="0"/>
        <w:jc w:val="both"/>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highlight w:val="none"/>
        </w:rPr>
        <w:t xml:space="preserve">2.组织实施</w:t>
      </w:r>
      <w:bookmarkStart w:id="92" w:name="OLE_LINK24"/>
      <w:r>
        <w:rPr>
          <w:rFonts w:ascii="Times New Roman" w:hAnsi="Times New Roman" w:cs="Times New Roman" w:hint="eastAsia"/>
          <w:b/>
          <w:bCs/>
          <w:color w:val="auto"/>
          <w:highlight w:val="none"/>
          <w:lang w:eastAsia="zh-CN"/>
        </w:rPr>
        <w:t xml:space="preserve">（</w:t>
      </w:r>
      <w:r>
        <w:rPr>
          <w:rFonts w:ascii="Times New Roman" w:hAnsi="Times New Roman" w:cs="Times New Roman" w:hint="eastAsia"/>
          <w:b/>
          <w:bCs/>
          <w:color w:val="auto"/>
          <w:highlight w:val="none"/>
          <w:lang w:val="en-US" w:eastAsia="zh-CN"/>
        </w:rPr>
        <w:t xml:space="preserve">2025年3月1日-2025年3月10日</w:t>
      </w:r>
      <w:r>
        <w:rPr>
          <w:rFonts w:ascii="Times New Roman" w:hAnsi="Times New Roman" w:cs="Times New Roman" w:hint="eastAsia"/>
          <w:b/>
          <w:bCs/>
          <w:color w:val="auto"/>
          <w:highlight w:val="none"/>
          <w:lang w:eastAsia="zh-CN"/>
        </w:rPr>
        <w:t xml:space="preserve">）</w:t>
      </w:r>
      <w:bookmarkEnd w:id="92"/>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评价的具体实施根据评价指标及评价工作要求，对具体评价内容和不同环节，采用以下取得的资料与评价方式。</w:t>
      </w:r>
    </w:p>
    <w:p>
      <w:pPr>
        <w:bidi w:val="0"/>
        <w:jc w:val="both"/>
        <w:rPr>
          <w:rFonts w:hint="eastAsia"/>
          <w:color w:val="auto"/>
          <w:highlight w:val="none"/>
          <w:lang w:val="en-US" w:eastAsia="zh-CN"/>
        </w:rPr>
      </w:pPr>
      <w:r>
        <w:rPr>
          <w:rFonts w:hint="eastAsia"/>
          <w:color w:val="auto"/>
          <w:highlight w:val="none"/>
        </w:rPr>
        <w:t xml:space="preserve">（1）</w:t>
      </w:r>
      <w:r>
        <w:rPr>
          <w:rFonts w:hint="eastAsia"/>
          <w:color w:val="auto"/>
          <w:highlight w:val="none"/>
          <w:lang w:val="en-US" w:eastAsia="zh-CN"/>
        </w:rPr>
        <w:t xml:space="preserve">根据绩效管理的要求，本单位成立实施项目评价小组，全过程跟踪监管项目实施过程，包括项目资金到位时绩效工作的安排、年中2次绩效监控工作的监督，项目实施完成之后收集资料开展项目绩效评价。</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w:t>
      </w:r>
      <w:r>
        <w:rPr>
          <w:rFonts w:ascii="Times New Roman" w:hAnsi="Times New Roman" w:cs="Times New Roman" w:hint="eastAsia"/>
          <w:color w:val="auto"/>
          <w:highlight w:val="none"/>
          <w:lang w:val="en-US" w:eastAsia="zh-CN"/>
        </w:rPr>
        <w:t xml:space="preserve">2</w:t>
      </w:r>
      <w:r>
        <w:rPr>
          <w:rFonts w:ascii="Times New Roman" w:eastAsia="仿宋_GB2312" w:hAnsi="Times New Roman" w:cs="Times New Roman" w:hint="default"/>
          <w:color w:val="auto"/>
          <w:highlight w:val="none"/>
        </w:rPr>
        <w:t xml:space="preserve">）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w:t>
      </w:r>
      <w:r>
        <w:rPr>
          <w:rFonts w:ascii="Times New Roman" w:hAnsi="Times New Roman" w:cs="Times New Roman" w:hint="eastAsia"/>
          <w:color w:val="auto"/>
          <w:highlight w:val="none"/>
          <w:lang w:val="en-US" w:eastAsia="zh-CN"/>
        </w:rPr>
        <w:t xml:space="preserve">3</w:t>
      </w:r>
      <w:r>
        <w:rPr>
          <w:rFonts w:ascii="Times New Roman" w:eastAsia="仿宋_GB2312" w:hAnsi="Times New Roman" w:cs="Times New Roman" w:hint="default"/>
          <w:color w:val="auto"/>
          <w:highlight w:val="none"/>
        </w:rPr>
        <w:t xml:space="preserve">）问卷调查。选择与项目评价有关的调查对象，设计调查问卷。通过问卷调查，对有关评价内容完成情况进行打分，并根据分值评价绩效目标完成情况，作为对项目评价的依据。</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w:t>
      </w:r>
      <w:r>
        <w:rPr>
          <w:rFonts w:ascii="Times New Roman" w:hAnsi="Times New Roman" w:cs="Times New Roman" w:hint="eastAsia"/>
          <w:color w:val="auto"/>
          <w:highlight w:val="none"/>
          <w:lang w:val="en-US" w:eastAsia="zh-CN"/>
        </w:rPr>
        <w:t xml:space="preserve">4</w:t>
      </w:r>
      <w:r>
        <w:rPr>
          <w:rFonts w:ascii="Times New Roman" w:eastAsia="仿宋_GB2312" w:hAnsi="Times New Roman" w:cs="Times New Roman" w:hint="default"/>
          <w:color w:val="auto"/>
          <w:highlight w:val="none"/>
        </w:rPr>
        <w:t xml:space="preserve">）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pPr>
        <w:bidi w:val="0"/>
        <w:jc w:val="both"/>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highlight w:val="none"/>
        </w:rPr>
        <w:t xml:space="preserve">3.数据集中分析</w:t>
      </w:r>
      <w:r>
        <w:rPr>
          <w:rFonts w:ascii="Times New Roman" w:hAnsi="Times New Roman" w:cs="Times New Roman" w:hint="eastAsia"/>
          <w:b/>
          <w:bCs/>
          <w:color w:val="auto"/>
          <w:highlight w:val="none"/>
          <w:lang w:eastAsia="zh-CN"/>
        </w:rPr>
        <w:t xml:space="preserve">（</w:t>
      </w:r>
      <w:r>
        <w:rPr>
          <w:rFonts w:ascii="Times New Roman" w:hAnsi="Times New Roman" w:cs="Times New Roman" w:hint="eastAsia"/>
          <w:b/>
          <w:bCs/>
          <w:color w:val="auto"/>
          <w:highlight w:val="none"/>
          <w:lang w:val="en-US" w:eastAsia="zh-CN"/>
        </w:rPr>
        <w:t xml:space="preserve">2025年3月11日-2025年3月20日</w:t>
      </w:r>
      <w:r>
        <w:rPr>
          <w:rFonts w:ascii="Times New Roman" w:hAnsi="Times New Roman" w:cs="Times New Roman" w:hint="eastAsia"/>
          <w:b/>
          <w:bCs/>
          <w:color w:val="auto"/>
          <w:highlight w:val="none"/>
          <w:lang w:eastAsia="zh-CN"/>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对相关资料，包括资金文件、项目实施方案、相关管理办法，问卷调查等进行集中分析。在查阅大量项目资料的基础上，根据考察、考评的结果进行整理、分析。</w:t>
      </w:r>
    </w:p>
    <w:p>
      <w:pPr>
        <w:bidi w:val="0"/>
        <w:jc w:val="both"/>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highlight w:val="none"/>
        </w:rPr>
        <w:t xml:space="preserve">4.分析总结</w:t>
      </w:r>
      <w:r>
        <w:rPr>
          <w:rFonts w:ascii="Times New Roman" w:hAnsi="Times New Roman" w:cs="Times New Roman" w:hint="eastAsia"/>
          <w:b/>
          <w:bCs/>
          <w:color w:val="auto"/>
          <w:highlight w:val="none"/>
          <w:lang w:eastAsia="zh-CN"/>
        </w:rPr>
        <w:t xml:space="preserve">（</w:t>
      </w:r>
      <w:r>
        <w:rPr>
          <w:rFonts w:ascii="Times New Roman" w:hAnsi="Times New Roman" w:cs="Times New Roman" w:hint="eastAsia"/>
          <w:b/>
          <w:bCs/>
          <w:color w:val="auto"/>
          <w:highlight w:val="none"/>
          <w:lang w:val="en-US" w:eastAsia="zh-CN"/>
        </w:rPr>
        <w:t xml:space="preserve">2025年3月21日-2025年3月31日</w:t>
      </w:r>
      <w:r>
        <w:rPr>
          <w:rFonts w:ascii="Times New Roman" w:hAnsi="Times New Roman" w:cs="Times New Roman" w:hint="eastAsia"/>
          <w:b/>
          <w:bCs/>
          <w:color w:val="auto"/>
          <w:highlight w:val="none"/>
          <w:lang w:eastAsia="zh-CN"/>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（1）根据部门自评的意见及考察、考评的结果进行整理、分析，撰写绩效评价报告初稿；</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（2）就部门自评报告与部门具体有关股室征求意见，形成最终的绩效评价报告。</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5</w:t>
      </w:r>
      <w:r>
        <w:rPr>
          <w:rFonts w:ascii="Times New Roman" w:eastAsia="仿宋_GB2312" w:hAnsi="Times New Roman" w:cs="Times New Roman" w:hint="default"/>
          <w:b/>
          <w:bCs/>
          <w:color w:val="auto"/>
          <w:highlight w:val="none"/>
        </w:rPr>
        <w:t xml:space="preserve">.问题整改</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bidi w:val="0"/>
        <w:jc w:val="both"/>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highlight w:val="none"/>
        </w:rPr>
        <w:t xml:space="preserve">6.档案整理</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建立和落实档案管理制度，将项目相关资料存档，包括但不限于：评价项目基本情况和相关文件、评价实施方案、项目支付资料等相关档案。</w:t>
      </w:r>
      <w:bookmarkEnd w:id="91"/>
    </w:p>
    <w:p>
      <w:pPr>
        <w:pStyle w:val="Heading2"/>
        <w:bidi w:val="0"/>
        <w:jc w:val="both"/>
        <w:outlineLvl w:val="0"/>
        <w:rPr>
          <w:rFonts w:ascii="黑体" w:eastAsia="黑体" w:hAnsi="黑体" w:cs="黑体" w:hint="eastAsia"/>
          <w:color w:val="auto"/>
          <w:highlight w:val="none"/>
        </w:rPr>
      </w:pPr>
      <w:bookmarkStart w:id="93" w:name="_Toc31058"/>
      <w:bookmarkStart w:id="94" w:name="_Toc25201"/>
      <w:bookmarkStart w:id="95" w:name="_Toc101"/>
      <w:bookmarkStart w:id="96" w:name="_Toc1808"/>
      <w:bookmarkStart w:id="97" w:name="_Toc21627"/>
      <w:bookmarkStart w:id="98" w:name="_Toc32641"/>
      <w:r>
        <w:rPr>
          <w:rFonts w:ascii="黑体" w:eastAsia="黑体" w:hAnsi="黑体" w:cs="黑体" w:hint="eastAsia"/>
          <w:color w:val="auto"/>
          <w:highlight w:val="none"/>
        </w:rPr>
        <w:t xml:space="preserve">三、综合评价情况及评价结论</w:t>
      </w:r>
      <w:bookmarkEnd w:id="93"/>
      <w:bookmarkEnd w:id="94"/>
      <w:bookmarkEnd w:id="95"/>
      <w:bookmarkEnd w:id="96"/>
      <w:bookmarkEnd w:id="97"/>
      <w:bookmarkEnd w:id="98"/>
    </w:p>
    <w:p>
      <w:pPr>
        <w:bidi w:val="0"/>
        <w:jc w:val="both"/>
        <w:rPr>
          <w:rFonts w:ascii="Times New Roman" w:eastAsia="仿宋_GB2312" w:hAnsi="Times New Roman" w:cs="Times New Roman" w:hint="default"/>
          <w:color w:val="auto"/>
          <w:highlight w:val="none"/>
          <w:lang w:val="en-US" w:eastAsia="zh-CN"/>
        </w:rPr>
      </w:pPr>
      <w:r>
        <w:rPr>
          <w:rFonts w:ascii="Times New Roman" w:hAnsi="Times New Roman" w:cs="Times New Roman" w:hint="eastAsia"/>
          <w:color w:val="auto"/>
          <w:highlight w:val="none"/>
          <w:lang w:eastAsia="zh-CN"/>
        </w:rPr>
        <w:t xml:space="preserve">2024年教育及培训经费（自有资金）</w:t>
      </w:r>
      <w:r>
        <w:rPr>
          <w:rFonts w:ascii="Times New Roman" w:eastAsia="仿宋_GB2312" w:hAnsi="Times New Roman" w:cs="Times New Roman" w:hint="default"/>
          <w:color w:val="auto"/>
          <w:highlight w:val="none"/>
        </w:rPr>
        <w:t xml:space="preserve">的绩效评价结果为“优”，综合评分</w:t>
      </w:r>
      <w:r>
        <w:rPr>
          <w:rFonts w:ascii="Times New Roman" w:hAnsi="Times New Roman" w:cs="Times New Roman" w:hint="eastAsia"/>
          <w:color w:val="auto"/>
          <w:highlight w:val="none"/>
          <w:lang w:val="en-US" w:eastAsia="zh-CN"/>
        </w:rPr>
        <w:t xml:space="preserve">99.5</w:t>
      </w:r>
      <w:r>
        <w:rPr>
          <w:rFonts w:ascii="Times New Roman" w:eastAsia="仿宋_GB2312" w:hAnsi="Times New Roman" w:cs="Times New Roman" w:hint="default"/>
          <w:color w:val="auto"/>
          <w:highlight w:val="none"/>
        </w:rPr>
        <w:t xml:space="preserve">分。其中项目决策</w:t>
      </w:r>
      <w:r>
        <w:rPr>
          <w:rFonts w:ascii="Times New Roman" w:hAnsi="Times New Roman" w:cs="Times New Roman" w:hint="eastAsia"/>
          <w:color w:val="auto"/>
          <w:highlight w:val="none"/>
          <w:lang w:val="en-US" w:eastAsia="zh-CN"/>
        </w:rPr>
        <w:t xml:space="preserve">21.5</w:t>
      </w:r>
      <w:r>
        <w:rPr>
          <w:rFonts w:ascii="Times New Roman" w:eastAsia="仿宋_GB2312" w:hAnsi="Times New Roman" w:cs="Times New Roman" w:hint="default"/>
          <w:color w:val="auto"/>
          <w:highlight w:val="none"/>
        </w:rPr>
        <w:t xml:space="preserve">分，项目过程1</w:t>
      </w:r>
      <w:r>
        <w:rPr>
          <w:rFonts w:ascii="Times New Roman" w:eastAsia="仿宋_GB2312" w:hAnsi="Times New Roman" w:cs="Times New Roman" w:hint="default"/>
          <w:color w:val="auto"/>
          <w:highlight w:val="none"/>
          <w:lang w:val="en-US" w:eastAsia="zh-CN"/>
        </w:rPr>
        <w:t xml:space="preserve">8</w:t>
      </w:r>
      <w:r>
        <w:rPr>
          <w:rFonts w:ascii="Times New Roman" w:eastAsia="仿宋_GB2312" w:hAnsi="Times New Roman" w:cs="Times New Roman" w:hint="default"/>
          <w:color w:val="auto"/>
          <w:highlight w:val="none"/>
        </w:rPr>
        <w:t xml:space="preserve">分，项目产出管理得分</w:t>
      </w:r>
      <w:r>
        <w:rPr>
          <w:rFonts w:ascii="Times New Roman" w:eastAsia="仿宋_GB2312" w:hAnsi="Times New Roman" w:cs="Times New Roman" w:hint="default"/>
          <w:color w:val="auto"/>
          <w:highlight w:val="none"/>
          <w:lang w:val="en-US" w:eastAsia="zh-CN"/>
        </w:rPr>
        <w:t xml:space="preserve">40</w:t>
      </w:r>
      <w:r>
        <w:rPr>
          <w:rFonts w:ascii="Times New Roman" w:eastAsia="仿宋_GB2312" w:hAnsi="Times New Roman" w:cs="Times New Roman" w:hint="default"/>
          <w:color w:val="auto"/>
          <w:highlight w:val="none"/>
        </w:rPr>
        <w:t xml:space="preserve">分，项目效益20分</w:t>
      </w:r>
      <w:r>
        <w:rPr>
          <w:rFonts w:ascii="Times New Roman" w:hAnsi="Times New Roman" w:cs="Times New Roman" w:hint="eastAsia"/>
          <w:color w:val="auto"/>
          <w:highlight w:val="none"/>
          <w:lang w:eastAsia="zh-CN"/>
        </w:rPr>
        <w:t xml:space="preserve">。项目的培训成本年初设置绩效目标时，没有全面考虑资金所需情况，导致年末培训成本资金短缺，</w:t>
      </w:r>
      <w:r>
        <w:rPr>
          <w:rFonts w:ascii="Times New Roman" w:hAnsi="Times New Roman" w:cs="Times New Roman" w:hint="eastAsia"/>
          <w:color w:val="auto"/>
          <w:highlight w:val="none"/>
          <w:lang w:val="en-US" w:eastAsia="zh-CN"/>
        </w:rPr>
        <w:t xml:space="preserve">追加资金9.21万元</w:t>
      </w:r>
      <w:r>
        <w:rPr>
          <w:rFonts w:ascii="Times New Roman" w:hAnsi="Times New Roman" w:cs="Times New Roman" w:hint="eastAsia"/>
          <w:color w:val="auto"/>
          <w:highlight w:val="none"/>
          <w:lang w:eastAsia="zh-CN"/>
        </w:rPr>
        <w:t xml:space="preserve">，</w:t>
      </w:r>
      <w:r>
        <w:rPr>
          <w:rFonts w:ascii="Times New Roman" w:hAnsi="Times New Roman" w:cs="Times New Roman" w:hint="eastAsia"/>
          <w:color w:val="auto"/>
          <w:highlight w:val="none"/>
          <w:lang w:val="en-US" w:eastAsia="zh-CN"/>
        </w:rPr>
        <w:t xml:space="preserve">扣0.5分。</w:t>
      </w:r>
      <w:r>
        <w:rPr>
          <w:rFonts w:ascii="Times New Roman" w:eastAsia="仿宋_GB2312" w:hAnsi="Times New Roman" w:cs="Times New Roman" w:hint="default"/>
          <w:color w:val="auto"/>
          <w:highlight w:val="none"/>
          <w:lang w:val="en-US" w:eastAsia="zh-CN"/>
        </w:rPr>
        <w:t xml:space="preserve">各部分权重和绩效汇总分值如下表所示：</w:t>
      </w:r>
    </w:p>
    <w:p>
      <w:pPr>
        <w:bidi w:val="0"/>
        <w:jc w:val="both"/>
        <w:rPr>
          <w:rFonts w:ascii="Times New Roman" w:eastAsia="仿宋_GB2312" w:hAnsi="Times New Roman" w:cs="Times New Roman" w:hint="default"/>
          <w:color w:val="auto"/>
          <w:highlight w:val="none"/>
        </w:rPr>
      </w:pPr>
      <w:r>
        <w:br w:type="page"/>
      </w:r>
    </w:p>
    <w:tbl>
      <w:tblPr>
        <w:tblStyle w:val="NormalTable"/>
        <w:tblW w:w="8289" w:type="dxa"/>
        <w:jc w:val="center"/>
        <w:tblLayout w:type="fixed"/>
        <w:tblCellMar>
          <w:top w:w="0" w:type="dxa"/>
          <w:left w:w="0" w:type="dxa"/>
          <w:bottom w:w="0" w:type="dxa"/>
          <w:right w:w="0" w:type="dxa"/>
        </w:tblCellMar>
        <w:tblLook w:firstRow="0" w:lastRow="0" w:firstColumn="0" w:lastColumn="0" w:noHBand="1" w:noVBand="1"/>
      </w:tblPr>
      <w:tblGrid>
        <w:gridCol w:w="1094"/>
        <w:gridCol w:w="1541"/>
        <w:gridCol w:w="1520"/>
        <w:gridCol w:w="1536"/>
        <w:gridCol w:w="1504"/>
        <w:gridCol w:w="1094"/>
      </w:tblGrid>
      <w:tr>
        <w:tblPrEx>
          <w:tblW w:w="8289" w:type="dxa"/>
          <w:tblLayout w:type="fixed"/>
          <w:tblCellMar>
            <w:top w:w="0" w:type="dxa"/>
            <w:left w:w="0" w:type="dxa"/>
            <w:bottom w:w="0" w:type="dxa"/>
            <w:right w:w="0" w:type="dxa"/>
          </w:tblCellMar>
        </w:tblPrEx>
        <w:trPr>
          <w:trHeight w:val="375"/>
          <w:jc w:val="center"/>
        </w:trPr>
        <w:tc>
          <w:tcPr>
            <w:tcW w:w="8289" w:type="dxa"/>
            <w:gridSpan w:val="6"/>
            <w:tcBorders>
              <w:top w:val="nil"/>
              <w:left w:val="nil"/>
              <w:bottom w:val="nil"/>
              <w:right w:val="nil"/>
            </w:tcBorders>
            <w:noWrap w:val="1"/>
            <w:tcMar>
              <w:top w:w="15" w:type="dxa"/>
              <w:left w:w="15" w:type="dxa"/>
              <w:bottom w:w="0" w:type="dxa"/>
              <w:right w:w="15" w:type="dxa"/>
            </w:tcMar>
            <w:vAlign w:val="center"/>
          </w:tcPr>
          <w:p>
            <w:pPr>
              <w:pStyle w:val="表格标题"/>
              <w:bidi w:val="0"/>
              <w:jc w:val="center"/>
              <w:rPr>
                <w:rFonts w:ascii="Times New Roman" w:eastAsia="仿宋_GB2312" w:hAnsi="Times New Roman" w:cs="Times New Roman" w:hint="eastAsia"/>
                <w:b/>
                <w:color w:val="auto"/>
                <w:highlight w:val="none"/>
                <w:lang w:val="en-US" w:eastAsia="zh-CN"/>
              </w:rPr>
            </w:pPr>
            <w:bookmarkStart w:id="99" w:name="_Toc27735"/>
            <w:bookmarkStart w:id="100" w:name="_Toc16086"/>
            <w:bookmarkStart w:id="101" w:name="_Toc3703"/>
            <w:bookmarkStart w:id="102" w:name="_Toc17356"/>
            <w:bookmarkStart w:id="103" w:name="_Toc30727"/>
            <w:r>
              <w:rPr>
                <w:rFonts w:ascii="Times New Roman" w:hAnsi="Times New Roman" w:cs="Times New Roman" w:hint="eastAsia"/>
                <w:b/>
                <w:color w:val="auto"/>
                <w:highlight w:val="none"/>
                <w:lang w:val="en-US" w:eastAsia="zh-CN"/>
              </w:rPr>
              <w:t xml:space="preserve">2024年教育及培训经费（自有资金）</w:t>
            </w:r>
            <w:bookmarkEnd w:id="99"/>
          </w:p>
          <w:p>
            <w:pPr>
              <w:pStyle w:val="表格标题"/>
              <w:bidi w:val="0"/>
              <w:jc w:val="center"/>
              <w:rPr>
                <w:rFonts w:ascii="Times New Roman" w:eastAsia="仿宋_GB2312" w:hAnsi="Times New Roman" w:cs="Times New Roman" w:hint="default"/>
                <w:color w:val="auto"/>
                <w:highlight w:val="none"/>
              </w:rPr>
            </w:pPr>
            <w:bookmarkStart w:id="104" w:name="_Toc30590"/>
            <w:r>
              <w:rPr>
                <w:rFonts w:ascii="Times New Roman" w:eastAsia="仿宋_GB2312" w:hAnsi="Times New Roman" w:cs="Times New Roman" w:hint="default"/>
                <w:color w:val="auto"/>
                <w:highlight w:val="none"/>
              </w:rPr>
              <w:t xml:space="preserve">绩效评价</w:t>
            </w:r>
            <w:r>
              <w:rPr>
                <w:rFonts w:ascii="Times New Roman" w:eastAsia="仿宋_GB2312" w:hAnsi="Times New Roman" w:cs="Times New Roman" w:hint="default"/>
                <w:color w:val="auto"/>
                <w:highlight w:val="none"/>
                <w:lang w:val="zh-TW" w:eastAsia="zh-TW"/>
              </w:rPr>
              <w:t xml:space="preserve">得分表</w:t>
            </w:r>
            <w:bookmarkEnd w:id="100"/>
            <w:bookmarkEnd w:id="101"/>
            <w:bookmarkEnd w:id="104"/>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指标类别</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1.项目决策</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2.过程管理</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3.项目产出</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4.项目效益</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合计</w:t>
            </w:r>
          </w:p>
        </w:tc>
      </w:tr>
      <w:tr>
        <w:tblPrEx>
          <w:tblW w:w="8289" w:type="dxa"/>
          <w:tblLayout w:type="fixed"/>
          <w:tblCellMar>
            <w:top w:w="0" w:type="dxa"/>
            <w:left w:w="0" w:type="dxa"/>
            <w:bottom w:w="0" w:type="dxa"/>
            <w:right w:w="0" w:type="dxa"/>
          </w:tblCellMar>
        </w:tblPrEx>
        <w:trPr>
          <w:trHeight w:val="441"/>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权重</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eastAsia"/>
                <w:color w:val="auto"/>
                <w:highlight w:val="none"/>
                <w:lang w:val="en-US" w:eastAsia="zh-CN"/>
              </w:rPr>
            </w:pPr>
            <w:r>
              <w:rPr>
                <w:rFonts w:ascii="Times New Roman" w:eastAsia="仿宋_GB2312" w:hAnsi="Times New Roman" w:cs="Times New Roman" w:hint="default"/>
                <w:color w:val="auto"/>
                <w:highlight w:val="none"/>
              </w:rPr>
              <w:t xml:space="preserve">100</w:t>
            </w:r>
            <w:r>
              <w:rPr>
                <w:rFonts w:cs="Times New Roman" w:hint="eastAsia"/>
                <w:color w:val="auto"/>
                <w:highlight w:val="none"/>
                <w:lang w:val="en-US" w:eastAsia="zh-CN"/>
              </w:rPr>
              <w:t xml:space="preserve">%</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分值</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100</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得分</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lang w:val="en-US" w:eastAsia="zh-CN"/>
              </w:rPr>
            </w:pPr>
            <w:r>
              <w:rPr>
                <w:rFonts w:cs="Times New Roman" w:hint="eastAsia"/>
                <w:color w:val="auto"/>
                <w:highlight w:val="none"/>
                <w:lang w:val="en-US" w:eastAsia="zh-CN"/>
              </w:rPr>
              <w:t xml:space="preserve">21.5</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lang w:val="en-US" w:eastAsia="zh-CN"/>
              </w:rPr>
            </w:pPr>
            <w:r>
              <w:rPr>
                <w:rFonts w:cs="Times New Roman" w:hint="eastAsia"/>
                <w:color w:val="auto"/>
                <w:highlight w:val="none"/>
                <w:lang w:val="en-US" w:eastAsia="zh-CN"/>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lang w:val="en-US" w:eastAsia="zh-CN"/>
              </w:rPr>
            </w:pPr>
            <w:r>
              <w:rPr>
                <w:rFonts w:ascii="Times New Roman" w:eastAsia="仿宋_GB2312" w:hAnsi="Times New Roman" w:cs="Times New Roman" w:hint="default"/>
                <w:color w:val="auto"/>
                <w:highlight w:val="none"/>
                <w:lang w:val="en-US" w:eastAsia="zh-CN"/>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lang w:val="en-US" w:eastAsia="zh-CN"/>
              </w:rPr>
            </w:pPr>
            <w:r>
              <w:rPr>
                <w:rFonts w:cs="Times New Roman" w:hint="eastAsia"/>
                <w:color w:val="auto"/>
                <w:highlight w:val="none"/>
                <w:lang w:val="en-US" w:eastAsia="zh-CN"/>
              </w:rPr>
              <w:t xml:space="preserve">99.5</w:t>
            </w:r>
          </w:p>
        </w:tc>
      </w:tr>
    </w:tbl>
    <w:p>
      <w:pPr>
        <w:pStyle w:val="Heading2"/>
        <w:bidi w:val="0"/>
        <w:jc w:val="both"/>
        <w:outlineLvl w:val="0"/>
        <w:rPr>
          <w:rFonts w:ascii="黑体" w:eastAsia="黑体" w:hAnsi="黑体" w:cs="黑体" w:hint="eastAsia"/>
          <w:color w:val="auto"/>
          <w:highlight w:val="none"/>
        </w:rPr>
      </w:pPr>
      <w:bookmarkStart w:id="105" w:name="_Toc4904"/>
      <w:bookmarkStart w:id="106" w:name="_Toc13630"/>
      <w:bookmarkStart w:id="107" w:name="_Toc29439"/>
      <w:bookmarkStart w:id="108" w:name="_Toc31495"/>
      <w:r>
        <w:rPr>
          <w:rFonts w:ascii="黑体" w:eastAsia="黑体" w:hAnsi="黑体" w:cs="黑体" w:hint="eastAsia"/>
          <w:color w:val="auto"/>
          <w:highlight w:val="none"/>
        </w:rPr>
        <w:t xml:space="preserve">四、绩效评价指标分析</w:t>
      </w:r>
      <w:bookmarkEnd w:id="102"/>
      <w:bookmarkEnd w:id="103"/>
      <w:bookmarkEnd w:id="105"/>
      <w:bookmarkEnd w:id="106"/>
      <w:bookmarkEnd w:id="107"/>
      <w:bookmarkEnd w:id="108"/>
    </w:p>
    <w:p>
      <w:pPr>
        <w:pStyle w:val="Heading3"/>
        <w:bidi w:val="0"/>
        <w:jc w:val="both"/>
        <w:outlineLvl w:val="1"/>
        <w:rPr>
          <w:rFonts w:ascii="楷体" w:eastAsia="楷体" w:hAnsi="楷体" w:cs="楷体" w:hint="eastAsia"/>
          <w:color w:val="auto"/>
          <w:highlight w:val="none"/>
        </w:rPr>
      </w:pPr>
      <w:bookmarkStart w:id="109" w:name="_Toc28477"/>
      <w:bookmarkStart w:id="110" w:name="_Toc2981"/>
      <w:bookmarkStart w:id="111" w:name="_Toc2901"/>
      <w:bookmarkStart w:id="112" w:name="_Toc1968"/>
      <w:bookmarkStart w:id="113" w:name="_Toc22323"/>
      <w:r>
        <w:rPr>
          <w:rFonts w:ascii="楷体" w:eastAsia="楷体" w:hAnsi="楷体" w:cs="楷体" w:hint="eastAsia"/>
          <w:color w:val="auto"/>
          <w:highlight w:val="none"/>
        </w:rPr>
        <w:t xml:space="preserve">（一）项目决策情况</w:t>
      </w:r>
      <w:bookmarkEnd w:id="109"/>
      <w:bookmarkEnd w:id="110"/>
      <w:bookmarkEnd w:id="111"/>
      <w:bookmarkEnd w:id="112"/>
      <w:bookmarkEnd w:id="113"/>
    </w:p>
    <w:p>
      <w:pPr>
        <w:bidi w:val="0"/>
        <w:jc w:val="both"/>
        <w:rPr>
          <w:rFonts w:ascii="Times New Roman" w:eastAsia="仿宋_GB2312" w:hAnsi="Times New Roman" w:cs="Times New Roman" w:hint="default"/>
          <w:b/>
          <w:bCs/>
          <w:color w:val="auto"/>
          <w:highlight w:val="none"/>
        </w:rPr>
      </w:pPr>
      <w:bookmarkStart w:id="114" w:name="_Toc22511"/>
      <w:bookmarkStart w:id="115" w:name="_Toc510"/>
      <w:r>
        <w:rPr>
          <w:rFonts w:ascii="Times New Roman" w:eastAsia="仿宋_GB2312" w:hAnsi="Times New Roman" w:cs="Times New Roman" w:hint="default"/>
          <w:b/>
          <w:bCs/>
          <w:color w:val="auto"/>
          <w:highlight w:val="none"/>
        </w:rPr>
        <w:t xml:space="preserve">1.</w:t>
      </w:r>
      <w:r>
        <w:rPr>
          <w:rFonts w:ascii="Times New Roman" w:hAnsi="Times New Roman" w:cs="Times New Roman" w:hint="eastAsia"/>
          <w:b/>
          <w:bCs/>
          <w:color w:val="auto"/>
          <w:highlight w:val="none"/>
          <w:lang w:eastAsia="zh-CN"/>
        </w:rPr>
        <w:t xml:space="preserve">实施</w:t>
      </w:r>
      <w:r>
        <w:rPr>
          <w:rFonts w:ascii="Times New Roman" w:eastAsia="仿宋_GB2312" w:hAnsi="Times New Roman" w:cs="Times New Roman" w:hint="default"/>
          <w:b/>
          <w:bCs/>
          <w:color w:val="auto"/>
          <w:highlight w:val="none"/>
        </w:rPr>
        <w:t xml:space="preserve">依据充分性</w:t>
      </w:r>
      <w:bookmarkEnd w:id="114"/>
      <w:bookmarkEnd w:id="115"/>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000000"/>
          <w:highlight w:val="none"/>
        </w:rPr>
        <w:t xml:space="preserve">本项目</w:t>
      </w:r>
      <w:r>
        <w:rPr>
          <w:rFonts w:ascii="Times New Roman" w:hAnsi="Times New Roman" w:cs="Times New Roman" w:hint="eastAsia"/>
          <w:color w:val="000000"/>
          <w:highlight w:val="none"/>
          <w:lang w:eastAsia="zh-CN"/>
        </w:rPr>
        <w:t xml:space="preserve">实施</w:t>
      </w:r>
      <w:r>
        <w:rPr>
          <w:rFonts w:ascii="Times New Roman" w:eastAsia="仿宋_GB2312" w:hAnsi="Times New Roman" w:cs="Times New Roman" w:hint="default"/>
          <w:color w:val="000000"/>
          <w:highlight w:val="none"/>
        </w:rPr>
        <w:t xml:space="preserve">符合《</w:t>
      </w:r>
      <w:r>
        <w:rPr>
          <w:rFonts w:ascii="Times New Roman" w:hAnsi="Times New Roman" w:cs="Times New Roman" w:hint="eastAsia"/>
          <w:color w:val="000000"/>
          <w:highlight w:val="none"/>
          <w:lang w:eastAsia="zh-CN"/>
        </w:rPr>
        <w:t xml:space="preserve">尉犁县技工学校经费管理办法</w:t>
      </w:r>
      <w:r>
        <w:rPr>
          <w:rFonts w:ascii="Times New Roman" w:eastAsia="仿宋_GB2312" w:hAnsi="Times New Roman" w:cs="Times New Roman" w:hint="default"/>
          <w:color w:val="000000"/>
          <w:highlight w:val="none"/>
        </w:rPr>
        <w:t xml:space="preserve">》</w:t>
      </w:r>
      <w:r>
        <w:rPr>
          <w:rFonts w:ascii="Times New Roman" w:hAnsi="Times New Roman" w:cs="Times New Roman" w:hint="eastAsia"/>
          <w:color w:val="000000"/>
          <w:highlight w:val="none"/>
          <w:lang w:eastAsia="zh-CN"/>
        </w:rPr>
        <w:t xml:space="preserve">第六条</w:t>
      </w:r>
      <w:r>
        <w:rPr>
          <w:rFonts w:ascii="Times New Roman" w:hAnsi="Times New Roman" w:cs="Times New Roman" w:hint="eastAsia"/>
          <w:color w:val="000000"/>
          <w:highlight w:val="none"/>
          <w:lang w:val="en-US" w:eastAsia="zh-CN"/>
        </w:rPr>
        <w:t xml:space="preserve"> 技工学校培训费收入全部纳入部门预算管理，全额用于学校公用经费支出</w:t>
      </w:r>
      <w:r>
        <w:rPr>
          <w:rFonts w:ascii="Times New Roman" w:hAnsi="Times New Roman" w:cs="Times New Roman" w:hint="eastAsia"/>
          <w:color w:val="000000"/>
          <w:highlight w:val="none"/>
          <w:lang w:eastAsia="zh-CN"/>
        </w:rPr>
        <w:t xml:space="preserve">，本项目实施符合</w:t>
      </w:r>
      <w:r>
        <w:rPr>
          <w:rFonts w:ascii="Times New Roman" w:eastAsia="仿宋_GB2312" w:hAnsi="Times New Roman" w:cs="Times New Roman" w:hint="default"/>
          <w:color w:val="000000"/>
          <w:highlight w:val="none"/>
        </w:rPr>
        <w:t xml:space="preserve">《</w:t>
      </w:r>
      <w:r>
        <w:rPr>
          <w:rFonts w:ascii="Times New Roman" w:hAnsi="Times New Roman" w:cs="Times New Roman" w:hint="eastAsia"/>
          <w:color w:val="000000"/>
          <w:highlight w:val="none"/>
          <w:lang w:eastAsia="zh-CN"/>
        </w:rPr>
        <w:t xml:space="preserve">尉犁县技工学校经费管理办法</w:t>
      </w:r>
      <w:r>
        <w:rPr>
          <w:rFonts w:ascii="Times New Roman" w:eastAsia="仿宋_GB2312" w:hAnsi="Times New Roman" w:cs="Times New Roman" w:hint="default"/>
          <w:color w:val="000000"/>
          <w:highlight w:val="none"/>
        </w:rPr>
        <w:t xml:space="preserve">》</w:t>
      </w:r>
      <w:r>
        <w:rPr>
          <w:rFonts w:ascii="Times New Roman" w:hAnsi="Times New Roman" w:cs="Times New Roman" w:hint="eastAsia"/>
          <w:color w:val="000000"/>
          <w:highlight w:val="none"/>
          <w:lang w:eastAsia="zh-CN"/>
        </w:rPr>
        <w:t xml:space="preserve">第四条</w:t>
      </w:r>
      <w:r>
        <w:rPr>
          <w:rFonts w:ascii="Times New Roman" w:hAnsi="Times New Roman" w:cs="Times New Roman" w:hint="eastAsia"/>
          <w:color w:val="000000"/>
          <w:highlight w:val="none"/>
          <w:lang w:val="en-US" w:eastAsia="zh-CN"/>
        </w:rPr>
        <w:t xml:space="preserve"> 公用经费支出范围：技工学校公用经费主要用于保障学校正常运转、完成教育教学活动和其他日常工作任务等方面的开支。具体包括：教学业务费、教师培训费、差旅费、办公费、车辆费、印刷费、水电费、取暖费、邮电费、劳务费、代课费、物业管理费、专用材料费、仪器设备及图书资料购置费、校舍及仪器设备的日常维修维护等其他成本性开支</w:t>
      </w:r>
      <w:r>
        <w:rPr>
          <w:rFonts w:ascii="Times New Roman" w:eastAsia="仿宋_GB2312" w:hAnsi="Times New Roman" w:cs="Times New Roman" w:hint="default"/>
          <w:color w:val="000000"/>
          <w:highlight w:val="none"/>
        </w:rPr>
        <w:t xml:space="preserve">。</w:t>
      </w:r>
      <w:r>
        <w:rPr>
          <w:rFonts w:hint="eastAsia"/>
          <w:color w:val="000000"/>
          <w:lang w:val="en-US" w:eastAsia="zh-CN"/>
        </w:rPr>
        <w:t xml:space="preserve">因此，</w:t>
      </w:r>
      <w:r>
        <w:rPr>
          <w:rFonts w:ascii="Times New Roman" w:eastAsia="仿宋_GB2312" w:hAnsi="Times New Roman" w:cs="Times New Roman" w:hint="default"/>
          <w:color w:val="auto"/>
          <w:highlight w:val="none"/>
        </w:rPr>
        <w:t xml:space="preserve">项目</w:t>
      </w:r>
      <w:r>
        <w:rPr>
          <w:rFonts w:ascii="Times New Roman" w:eastAsia="仿宋_GB2312" w:hAnsi="Times New Roman" w:cs="Times New Roman" w:hint="default"/>
          <w:color w:val="auto"/>
          <w:highlight w:val="none"/>
          <w:lang w:val="en-US" w:eastAsia="zh-CN"/>
        </w:rPr>
        <w:t xml:space="preserve">实施</w:t>
      </w:r>
      <w:r>
        <w:rPr>
          <w:rFonts w:ascii="Times New Roman" w:eastAsia="仿宋_GB2312" w:hAnsi="Times New Roman" w:cs="Times New Roman" w:hint="default"/>
          <w:color w:val="auto"/>
          <w:highlight w:val="none"/>
        </w:rPr>
        <w:t xml:space="preserve">符合国家法律法规、国民经济发展规划和相关政策；符合行业发展规划和政策要求；与部门职责范围相符，属</w:t>
      </w:r>
      <w:r>
        <w:rPr>
          <w:rFonts w:ascii="Times New Roman" w:eastAsia="仿宋_GB2312" w:hAnsi="Times New Roman" w:cs="Times New Roman" w:hint="default"/>
          <w:color w:val="auto"/>
          <w:highlight w:val="none"/>
        </w:rPr>
        <w:t xml:space="preserve">干部</w:t>
      </w:r>
      <w:r>
        <w:rPr>
          <w:rFonts w:ascii="Times New Roman" w:eastAsia="仿宋_GB2312" w:hAnsi="Times New Roman" w:cs="Times New Roman" w:hint="default"/>
          <w:color w:val="auto"/>
          <w:highlight w:val="none"/>
        </w:rPr>
        <w:t xml:space="preserve">门履职所需；属于公共财政支持范围，符合中央、地方事权支出责任划分原则；</w:t>
      </w:r>
      <w:r>
        <w:rPr>
          <w:rFonts w:ascii="Times New Roman" w:eastAsia="仿宋_GB2312" w:hAnsi="Times New Roman" w:cs="Times New Roman" w:hint="default"/>
          <w:color w:val="auto"/>
          <w:highlight w:val="none"/>
          <w:lang w:val="en-US" w:eastAsia="zh-CN"/>
        </w:rPr>
        <w:t xml:space="preserve">不存在</w:t>
      </w:r>
      <w:r>
        <w:rPr>
          <w:rFonts w:ascii="Times New Roman" w:eastAsia="仿宋_GB2312" w:hAnsi="Times New Roman" w:cs="Times New Roman" w:hint="default"/>
          <w:color w:val="auto"/>
          <w:highlight w:val="none"/>
        </w:rPr>
        <w:t xml:space="preserve">与相关部门同类项目或部门内部相关项目重复</w:t>
      </w:r>
      <w:r>
        <w:rPr>
          <w:rFonts w:ascii="Times New Roman" w:eastAsia="仿宋_GB2312" w:hAnsi="Times New Roman" w:cs="Times New Roman" w:hint="default"/>
          <w:color w:val="auto"/>
          <w:highlight w:val="none"/>
          <w:lang w:val="en-US" w:eastAsia="zh-CN"/>
        </w:rPr>
        <w:t xml:space="preserve">的现象</w:t>
      </w:r>
      <w:r>
        <w:rPr>
          <w:rFonts w:ascii="Times New Roman" w:eastAsia="仿宋_GB2312" w:hAnsi="Times New Roman" w:cs="Times New Roman" w:hint="default"/>
          <w:color w:val="auto"/>
          <w:highlight w:val="none"/>
        </w:rPr>
        <w:t xml:space="preserve">。</w:t>
      </w:r>
      <w:r>
        <w:rPr>
          <w:rFonts w:ascii="Times New Roman" w:eastAsia="仿宋_GB2312" w:hAnsi="Times New Roman" w:cs="Times New Roman" w:hint="default"/>
          <w:color w:val="auto"/>
          <w:highlight w:val="none"/>
          <w:lang w:val="en-US" w:eastAsia="zh-CN"/>
        </w:rPr>
        <w:t xml:space="preserve">项目</w:t>
      </w:r>
      <w:r>
        <w:rPr>
          <w:rFonts w:ascii="Times New Roman" w:hAnsi="Times New Roman" w:cs="Times New Roman" w:hint="eastAsia"/>
          <w:color w:val="auto"/>
          <w:highlight w:val="none"/>
          <w:lang w:val="en-US" w:eastAsia="zh-CN"/>
        </w:rPr>
        <w:t xml:space="preserve">实施</w:t>
      </w:r>
      <w:r>
        <w:rPr>
          <w:rFonts w:ascii="Times New Roman" w:eastAsia="仿宋_GB2312" w:hAnsi="Times New Roman" w:cs="Times New Roman" w:hint="default"/>
          <w:color w:val="auto"/>
          <w:highlight w:val="none"/>
          <w:lang w:val="en-US" w:eastAsia="zh-CN"/>
        </w:rPr>
        <w:t xml:space="preserve">依据充分。</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本项满分3分，评估得分3分。</w:t>
      </w:r>
    </w:p>
    <w:p>
      <w:pPr>
        <w:bidi w:val="0"/>
        <w:jc w:val="both"/>
        <w:rPr>
          <w:rFonts w:ascii="Times New Roman" w:eastAsia="仿宋_GB2312" w:hAnsi="Times New Roman" w:cs="Times New Roman" w:hint="default"/>
          <w:b/>
          <w:bCs/>
          <w:color w:val="auto"/>
          <w:highlight w:val="none"/>
        </w:rPr>
      </w:pPr>
      <w:bookmarkStart w:id="116" w:name="_Toc283"/>
      <w:bookmarkStart w:id="117" w:name="_Toc27895"/>
      <w:r>
        <w:rPr>
          <w:rFonts w:ascii="Times New Roman" w:eastAsia="仿宋_GB2312" w:hAnsi="Times New Roman" w:cs="Times New Roman" w:hint="default"/>
          <w:b/>
          <w:bCs/>
          <w:color w:val="auto"/>
          <w:highlight w:val="none"/>
        </w:rPr>
        <w:t xml:space="preserve">2.</w:t>
      </w:r>
      <w:r>
        <w:rPr>
          <w:rFonts w:ascii="Times New Roman" w:hAnsi="Times New Roman" w:cs="Times New Roman" w:hint="eastAsia"/>
          <w:b/>
          <w:bCs/>
          <w:color w:val="auto"/>
          <w:highlight w:val="none"/>
          <w:lang w:eastAsia="zh-CN"/>
        </w:rPr>
        <w:t xml:space="preserve">实施</w:t>
      </w:r>
      <w:r>
        <w:rPr>
          <w:rFonts w:ascii="Times New Roman" w:eastAsia="仿宋_GB2312" w:hAnsi="Times New Roman" w:cs="Times New Roman" w:hint="default"/>
          <w:b/>
          <w:bCs/>
          <w:color w:val="auto"/>
          <w:highlight w:val="none"/>
        </w:rPr>
        <w:t xml:space="preserve">程序规范性</w:t>
      </w:r>
      <w:bookmarkEnd w:id="116"/>
      <w:bookmarkEnd w:id="117"/>
    </w:p>
    <w:p>
      <w:pPr>
        <w:bidi w:val="0"/>
        <w:rPr>
          <w:rFonts w:ascii="Times New Roman" w:eastAsia="仿宋_GB2312" w:hAnsi="Times New Roman" w:cs="Times New Roman" w:hint="default"/>
          <w:color w:val="auto"/>
          <w:highlight w:val="none"/>
        </w:rPr>
      </w:pPr>
      <w:r>
        <w:rPr>
          <w:rFonts w:ascii="Times New Roman" w:eastAsia="仿宋_GB2312" w:hAnsi="Times New Roman" w:cs="Times New Roman" w:hint="eastAsia"/>
          <w:bCs w:val="0"/>
          <w:iCs w:val="0"/>
          <w:color w:val="auto"/>
          <w:kern w:val="2"/>
          <w:sz w:val="32"/>
          <w:szCs w:val="22"/>
          <w:highlight w:val="none"/>
          <w:lang w:val="en-US" w:bidi="ar-SA"/>
        </w:rPr>
        <w:t xml:space="preserve">本项目</w:t>
      </w:r>
      <w:r>
        <w:rPr>
          <w:rFonts w:ascii="Times New Roman" w:eastAsia="仿宋_GB2312" w:hAnsi="Times New Roman" w:cs="Times New Roman" w:hint="eastAsia"/>
          <w:bCs w:val="0"/>
          <w:iCs w:val="0"/>
          <w:color w:val="auto"/>
          <w:kern w:val="2"/>
          <w:sz w:val="32"/>
          <w:szCs w:val="22"/>
          <w:highlight w:val="none"/>
          <w:lang w:val="en-US" w:eastAsia="zh-CN" w:bidi="ar-SA"/>
        </w:rPr>
        <w:t xml:space="preserve">实施</w:t>
      </w:r>
      <w:r>
        <w:rPr>
          <w:rFonts w:ascii="Times New Roman" w:eastAsia="仿宋_GB2312" w:hAnsi="Times New Roman" w:cs="Times New Roman" w:hint="eastAsia"/>
          <w:bCs w:val="0"/>
          <w:iCs w:val="0"/>
          <w:color w:val="auto"/>
          <w:kern w:val="2"/>
          <w:sz w:val="32"/>
          <w:szCs w:val="22"/>
          <w:highlight w:val="none"/>
          <w:lang w:val="en-US" w:bidi="ar-SA"/>
        </w:rPr>
        <w:t xml:space="preserve">资料</w:t>
      </w:r>
      <w:r>
        <w:rPr>
          <w:rFonts w:ascii="Times New Roman" w:hAnsi="Times New Roman" w:cs="Times New Roman" w:hint="eastAsia"/>
          <w:bCs w:val="0"/>
          <w:iCs w:val="0"/>
          <w:color w:val="auto"/>
          <w:kern w:val="2"/>
          <w:sz w:val="32"/>
          <w:szCs w:val="22"/>
          <w:highlight w:val="none"/>
          <w:lang w:val="en-US" w:eastAsia="zh-CN" w:bidi="ar-SA"/>
        </w:rPr>
        <w:t xml:space="preserve">齐</w:t>
      </w:r>
      <w:r>
        <w:rPr>
          <w:rFonts w:ascii="Times New Roman" w:eastAsia="仿宋_GB2312" w:hAnsi="Times New Roman" w:cs="Times New Roman" w:hint="eastAsia"/>
          <w:bCs w:val="0"/>
          <w:iCs w:val="0"/>
          <w:color w:val="auto"/>
          <w:kern w:val="2"/>
          <w:sz w:val="32"/>
          <w:szCs w:val="22"/>
          <w:highlight w:val="none"/>
          <w:lang w:val="en-US" w:bidi="ar-SA"/>
        </w:rPr>
        <w:t xml:space="preserve">全，</w:t>
      </w:r>
      <w:r>
        <w:rPr>
          <w:rFonts w:ascii="Times New Roman" w:eastAsia="仿宋_GB2312" w:hAnsi="Times New Roman" w:cs="Times New Roman" w:hint="default"/>
          <w:bCs w:val="0"/>
          <w:iCs w:val="0"/>
          <w:color w:val="auto"/>
          <w:kern w:val="2"/>
          <w:sz w:val="32"/>
          <w:szCs w:val="22"/>
          <w:highlight w:val="none"/>
          <w:lang w:val="en-US" w:bidi="ar-SA"/>
        </w:rPr>
        <w:t xml:space="preserve">编制了</w:t>
      </w:r>
      <w:r>
        <w:rPr>
          <w:rFonts w:ascii="Times New Roman" w:eastAsia="仿宋_GB2312" w:hAnsi="Times New Roman" w:cs="Times New Roman" w:hint="eastAsia"/>
          <w:bCs w:val="0"/>
          <w:iCs w:val="0"/>
          <w:color w:val="auto"/>
          <w:kern w:val="2"/>
          <w:sz w:val="32"/>
          <w:szCs w:val="22"/>
          <w:highlight w:val="none"/>
          <w:lang w:val="en-US" w:eastAsia="zh-CN" w:bidi="ar-SA"/>
        </w:rPr>
        <w:t xml:space="preserve">《</w:t>
      </w:r>
      <w:r>
        <w:rPr>
          <w:rFonts w:ascii="Times New Roman" w:hAnsi="Times New Roman" w:cs="Times New Roman" w:hint="eastAsia"/>
          <w:bCs w:val="0"/>
          <w:iCs w:val="0"/>
          <w:color w:val="auto"/>
          <w:kern w:val="2"/>
          <w:sz w:val="32"/>
          <w:szCs w:val="22"/>
          <w:highlight w:val="none"/>
          <w:lang w:val="en-US" w:eastAsia="zh-CN" w:bidi="ar-SA"/>
        </w:rPr>
        <w:t xml:space="preserve">2024年尉犁县技工学校自有资金</w:t>
      </w:r>
      <w:r>
        <w:rPr>
          <w:rFonts w:ascii="Times New Roman" w:eastAsia="仿宋_GB2312" w:hAnsi="Times New Roman" w:cs="Times New Roman" w:hint="default"/>
          <w:bCs w:val="0"/>
          <w:iCs w:val="0"/>
          <w:color w:val="auto"/>
          <w:kern w:val="2"/>
          <w:sz w:val="32"/>
          <w:szCs w:val="22"/>
          <w:highlight w:val="none"/>
          <w:lang w:val="en-US" w:bidi="ar-SA"/>
        </w:rPr>
        <w:t xml:space="preserve">实施方案</w:t>
      </w:r>
      <w:r>
        <w:rPr>
          <w:rFonts w:ascii="Times New Roman" w:eastAsia="仿宋_GB2312" w:hAnsi="Times New Roman" w:cs="Times New Roman" w:hint="eastAsia"/>
          <w:bCs w:val="0"/>
          <w:iCs w:val="0"/>
          <w:color w:val="auto"/>
          <w:kern w:val="2"/>
          <w:sz w:val="32"/>
          <w:szCs w:val="22"/>
          <w:highlight w:val="none"/>
          <w:lang w:val="en-US" w:eastAsia="zh-CN" w:bidi="ar-SA"/>
        </w:rPr>
        <w:t xml:space="preserve">》</w:t>
      </w:r>
      <w:r>
        <w:rPr>
          <w:rFonts w:ascii="Times New Roman" w:hAnsi="Times New Roman" w:cs="Times New Roman" w:hint="eastAsia"/>
          <w:bCs w:val="0"/>
          <w:iCs w:val="0"/>
          <w:color w:val="auto"/>
          <w:kern w:val="2"/>
          <w:sz w:val="32"/>
          <w:szCs w:val="22"/>
          <w:highlight w:val="none"/>
          <w:lang w:val="en-US" w:eastAsia="zh-CN" w:bidi="ar-SA"/>
        </w:rPr>
        <w:t xml:space="preserve">，</w:t>
      </w:r>
      <w:r>
        <w:rPr>
          <w:rFonts w:ascii="Times New Roman" w:eastAsia="仿宋_GB2312" w:hAnsi="Times New Roman" w:cs="Times New Roman" w:hint="eastAsia"/>
          <w:bCs w:val="0"/>
          <w:iCs w:val="0"/>
          <w:color w:val="auto"/>
          <w:kern w:val="2"/>
          <w:sz w:val="32"/>
          <w:szCs w:val="22"/>
          <w:highlight w:val="none"/>
          <w:lang w:val="en-US" w:eastAsia="zh-CN" w:bidi="ar-SA"/>
        </w:rPr>
        <w:t xml:space="preserve">通过</w:t>
      </w:r>
      <w:r>
        <w:rPr>
          <w:rFonts w:ascii="Times New Roman" w:hAnsi="Times New Roman" w:cs="Times New Roman" w:hint="eastAsia"/>
          <w:bCs w:val="0"/>
          <w:iCs w:val="0"/>
          <w:color w:val="auto"/>
          <w:kern w:val="2"/>
          <w:sz w:val="32"/>
          <w:szCs w:val="22"/>
          <w:highlight w:val="none"/>
          <w:lang w:val="en-US" w:eastAsia="zh-CN" w:bidi="ar-SA"/>
        </w:rPr>
        <w:t xml:space="preserve">尉犁县人力资源和社会保障局党组</w:t>
      </w:r>
      <w:r>
        <w:rPr>
          <w:rFonts w:ascii="Times New Roman" w:eastAsia="仿宋_GB2312" w:hAnsi="Times New Roman" w:cs="Times New Roman" w:hint="eastAsia"/>
          <w:bCs w:val="0"/>
          <w:iCs w:val="0"/>
          <w:color w:val="auto"/>
          <w:kern w:val="2"/>
          <w:sz w:val="32"/>
          <w:szCs w:val="22"/>
          <w:highlight w:val="none"/>
          <w:lang w:val="en-US" w:eastAsia="zh-CN" w:bidi="ar-SA"/>
        </w:rPr>
        <w:t xml:space="preserve">会议同意实施该项目。因此，</w:t>
      </w:r>
      <w:r>
        <w:rPr>
          <w:rFonts w:ascii="Times New Roman" w:hAnsi="Times New Roman" w:cs="Times New Roman" w:hint="eastAsia"/>
          <w:color w:val="auto"/>
          <w:highlight w:val="none"/>
          <w:lang w:eastAsia="zh-CN"/>
        </w:rPr>
        <w:t xml:space="preserve">2024年教育及培训经费（自有资金）</w:t>
      </w:r>
      <w:r>
        <w:rPr>
          <w:rFonts w:ascii="Times New Roman" w:eastAsia="仿宋_GB2312" w:hAnsi="Times New Roman" w:cs="Times New Roman" w:hint="default"/>
          <w:color w:val="auto"/>
          <w:highlight w:val="none"/>
          <w:lang w:eastAsia="zh-CN"/>
        </w:rPr>
        <w:t xml:space="preserve">实施</w:t>
      </w:r>
      <w:r>
        <w:rPr>
          <w:rFonts w:ascii="Times New Roman" w:eastAsia="仿宋_GB2312" w:hAnsi="Times New Roman" w:cs="Times New Roman" w:hint="default"/>
          <w:color w:val="auto"/>
          <w:highlight w:val="none"/>
        </w:rPr>
        <w:t xml:space="preserve">资料</w:t>
      </w:r>
      <w:r>
        <w:rPr>
          <w:rFonts w:ascii="Times New Roman" w:hAnsi="Times New Roman" w:cs="Times New Roman" w:hint="eastAsia"/>
          <w:color w:val="auto"/>
          <w:highlight w:val="none"/>
          <w:lang w:val="en-US" w:eastAsia="zh-CN"/>
        </w:rPr>
        <w:t xml:space="preserve">齐</w:t>
      </w:r>
      <w:r>
        <w:rPr>
          <w:rFonts w:ascii="Times New Roman" w:eastAsia="仿宋_GB2312" w:hAnsi="Times New Roman" w:cs="Times New Roman" w:hint="default"/>
          <w:color w:val="auto"/>
          <w:highlight w:val="none"/>
        </w:rPr>
        <w:t xml:space="preserve">全，</w:t>
      </w:r>
      <w:r>
        <w:rPr>
          <w:rFonts w:ascii="Times New Roman" w:eastAsia="仿宋_GB2312" w:hAnsi="Times New Roman" w:cs="Times New Roman" w:hint="default"/>
          <w:color w:val="auto"/>
          <w:highlight w:val="none"/>
          <w:lang w:eastAsia="zh-CN"/>
        </w:rPr>
        <w:t xml:space="preserve">实施</w:t>
      </w:r>
      <w:r>
        <w:rPr>
          <w:rFonts w:ascii="Times New Roman" w:eastAsia="仿宋_GB2312" w:hAnsi="Times New Roman" w:cs="Times New Roman" w:hint="default"/>
          <w:color w:val="auto"/>
          <w:highlight w:val="none"/>
        </w:rPr>
        <w:t xml:space="preserve">程序规范；审批文件、材料符合相关要求，事前已经过必要的集体决策，</w:t>
      </w:r>
      <w:r>
        <w:rPr>
          <w:rFonts w:hint="eastAsia"/>
          <w:color w:val="auto"/>
          <w:highlight w:val="none"/>
        </w:rPr>
        <w:t xml:space="preserve">实施程序规范</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本项满分3分，评估得分3分。</w:t>
      </w:r>
    </w:p>
    <w:p>
      <w:pPr>
        <w:bidi w:val="0"/>
        <w:jc w:val="both"/>
        <w:rPr>
          <w:rFonts w:ascii="Times New Roman" w:eastAsia="仿宋_GB2312" w:hAnsi="Times New Roman" w:cs="Times New Roman" w:hint="default"/>
          <w:b/>
          <w:bCs/>
          <w:color w:val="auto"/>
          <w:highlight w:val="none"/>
        </w:rPr>
      </w:pPr>
      <w:bookmarkStart w:id="118" w:name="_Toc13368"/>
      <w:bookmarkStart w:id="119" w:name="_Toc20471"/>
      <w:r>
        <w:rPr>
          <w:rFonts w:ascii="Times New Roman" w:eastAsia="仿宋_GB2312" w:hAnsi="Times New Roman" w:cs="Times New Roman" w:hint="default"/>
          <w:b/>
          <w:bCs/>
          <w:color w:val="auto"/>
          <w:highlight w:val="none"/>
        </w:rPr>
        <w:t xml:space="preserve">3.绩效目标合理性</w:t>
      </w:r>
      <w:bookmarkEnd w:id="118"/>
      <w:bookmarkEnd w:id="119"/>
    </w:p>
    <w:p>
      <w:pPr>
        <w:bidi w:val="0"/>
        <w:jc w:val="both"/>
        <w:rPr>
          <w:rFonts w:ascii="Times New Roman" w:eastAsia="仿宋_GB2312" w:hAnsi="Times New Roman" w:cs="Times New Roman" w:hint="default"/>
          <w:color w:val="auto"/>
          <w:highlight w:val="none"/>
        </w:rPr>
      </w:pPr>
      <w:r>
        <w:rPr>
          <w:rFonts w:ascii="Times New Roman" w:hAnsi="Times New Roman" w:cs="Times New Roman" w:hint="eastAsia"/>
          <w:color w:val="auto"/>
          <w:highlight w:val="none"/>
          <w:lang w:val="en-US" w:eastAsia="zh-CN"/>
        </w:rPr>
        <w:t xml:space="preserve">2024年教育及培训经费（自有资金）</w:t>
      </w:r>
      <w:r>
        <w:rPr>
          <w:rFonts w:ascii="Times New Roman" w:eastAsia="仿宋_GB2312" w:hAnsi="Times New Roman" w:cs="Times New Roman" w:hint="default"/>
          <w:color w:val="auto"/>
          <w:highlight w:val="none"/>
        </w:rPr>
        <w:t xml:space="preserve">设立了项目绩效目标，绩效目标指标设置合理，项目绩效目标与实际工作内容相关性较强；项目预期产出效益和效果符合正常的业绩水平；绩效目标与预算确定的项目投资额相匹配。</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本项满分4分，评估得分4分。</w:t>
      </w:r>
    </w:p>
    <w:p>
      <w:pPr>
        <w:bidi w:val="0"/>
        <w:jc w:val="both"/>
        <w:rPr>
          <w:rFonts w:ascii="Times New Roman" w:eastAsia="仿宋_GB2312" w:hAnsi="Times New Roman" w:cs="Times New Roman" w:hint="default"/>
          <w:b/>
          <w:bCs/>
          <w:color w:val="auto"/>
          <w:highlight w:val="none"/>
        </w:rPr>
      </w:pPr>
      <w:bookmarkStart w:id="120" w:name="_Toc15543"/>
      <w:bookmarkStart w:id="121" w:name="_Toc21087"/>
      <w:r>
        <w:rPr>
          <w:rFonts w:ascii="Times New Roman" w:eastAsia="仿宋_GB2312" w:hAnsi="Times New Roman" w:cs="Times New Roman" w:hint="default"/>
          <w:b/>
          <w:bCs/>
          <w:color w:val="auto"/>
          <w:highlight w:val="none"/>
        </w:rPr>
        <w:t xml:space="preserve">4.绩效指标明确性</w:t>
      </w:r>
      <w:bookmarkEnd w:id="120"/>
      <w:bookmarkEnd w:id="121"/>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lang w:val="en-US" w:eastAsia="zh-CN"/>
        </w:rPr>
        <w:t xml:space="preserve">2024年教育及培训经费（自有资金）</w:t>
      </w:r>
      <w:r>
        <w:rPr>
          <w:rFonts w:ascii="Times New Roman" w:eastAsia="仿宋_GB2312" w:hAnsi="Times New Roman" w:cs="Times New Roman" w:hint="default"/>
          <w:color w:val="auto"/>
          <w:highlight w:val="none"/>
        </w:rPr>
        <w:t xml:space="preserve">，设置一级指标</w:t>
      </w:r>
      <w:r>
        <w:rPr>
          <w:rFonts w:ascii="Times New Roman" w:hAnsi="Times New Roman" w:cs="Times New Roman" w:hint="eastAsia"/>
          <w:color w:val="auto"/>
          <w:highlight w:val="none"/>
          <w:lang w:val="en-US" w:eastAsia="zh-CN"/>
        </w:rPr>
        <w:t xml:space="preserve">4</w:t>
      </w:r>
      <w:r>
        <w:rPr>
          <w:rFonts w:ascii="Times New Roman" w:eastAsia="仿宋_GB2312" w:hAnsi="Times New Roman" w:cs="Times New Roman" w:hint="default"/>
          <w:color w:val="auto"/>
          <w:highlight w:val="none"/>
        </w:rPr>
        <w:t xml:space="preserve">条，二级指标</w:t>
      </w:r>
      <w:r>
        <w:rPr>
          <w:rFonts w:ascii="Times New Roman" w:hAnsi="Times New Roman" w:cs="Times New Roman" w:hint="eastAsia"/>
          <w:color w:val="auto"/>
          <w:highlight w:val="none"/>
          <w:lang w:val="en-US" w:eastAsia="zh-CN"/>
        </w:rPr>
        <w:t xml:space="preserve">6</w:t>
      </w:r>
      <w:r>
        <w:rPr>
          <w:rFonts w:ascii="Times New Roman" w:eastAsia="仿宋_GB2312" w:hAnsi="Times New Roman" w:cs="Times New Roman" w:hint="default"/>
          <w:color w:val="auto"/>
          <w:highlight w:val="none"/>
        </w:rPr>
        <w:t xml:space="preserve">条，三级指标</w:t>
      </w:r>
      <w:r>
        <w:rPr>
          <w:rFonts w:ascii="Times New Roman" w:hAnsi="Times New Roman" w:cs="Times New Roman" w:hint="eastAsia"/>
          <w:color w:val="auto"/>
          <w:highlight w:val="none"/>
          <w:lang w:val="en-US" w:eastAsia="zh-CN"/>
        </w:rPr>
        <w:t xml:space="preserve">10</w:t>
      </w:r>
      <w:r>
        <w:rPr>
          <w:rFonts w:ascii="Times New Roman" w:eastAsia="仿宋_GB2312" w:hAnsi="Times New Roman" w:cs="Times New Roman" w:hint="default"/>
          <w:color w:val="auto"/>
          <w:highlight w:val="none"/>
        </w:rPr>
        <w:t xml:space="preserve">条，其中量化指标</w:t>
      </w:r>
      <w:r>
        <w:rPr>
          <w:rFonts w:ascii="Times New Roman" w:hAnsi="Times New Roman" w:cs="Times New Roman" w:hint="eastAsia"/>
          <w:color w:val="auto"/>
          <w:highlight w:val="none"/>
          <w:lang w:val="en-US" w:eastAsia="zh-CN"/>
        </w:rPr>
        <w:t xml:space="preserve">9</w:t>
      </w:r>
      <w:r>
        <w:rPr>
          <w:rFonts w:ascii="Times New Roman" w:eastAsia="仿宋_GB2312" w:hAnsi="Times New Roman" w:cs="Times New Roman" w:hint="default"/>
          <w:color w:val="auto"/>
          <w:highlight w:val="none"/>
        </w:rPr>
        <w:t xml:space="preserve">条，绩效目标指标设定清晰、可衡量性较强，与项目目标任务计划数对应性较强。</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本项满分4分，评估得分4分。</w:t>
      </w:r>
    </w:p>
    <w:p>
      <w:pPr>
        <w:bidi w:val="0"/>
        <w:jc w:val="both"/>
        <w:rPr>
          <w:rFonts w:ascii="Times New Roman" w:eastAsia="仿宋_GB2312" w:hAnsi="Times New Roman" w:cs="Times New Roman" w:hint="default"/>
          <w:b/>
          <w:bCs/>
          <w:color w:val="auto"/>
          <w:highlight w:val="none"/>
        </w:rPr>
      </w:pPr>
      <w:bookmarkStart w:id="122" w:name="_Toc21476"/>
      <w:bookmarkStart w:id="123" w:name="_Toc25638"/>
      <w:r>
        <w:rPr>
          <w:rFonts w:ascii="Times New Roman" w:eastAsia="仿宋_GB2312" w:hAnsi="Times New Roman" w:cs="Times New Roman" w:hint="default"/>
          <w:b/>
          <w:bCs/>
          <w:color w:val="auto"/>
          <w:highlight w:val="none"/>
        </w:rPr>
        <w:t xml:space="preserve">5.预算编制科学性</w:t>
      </w:r>
      <w:bookmarkEnd w:id="122"/>
      <w:bookmarkEnd w:id="123"/>
    </w:p>
    <w:p>
      <w:pPr>
        <w:bidi w:val="0"/>
        <w:jc w:val="both"/>
        <w:rPr>
          <w:rFonts w:ascii="Times New Roman" w:eastAsia="仿宋_GB2312" w:hAnsi="Times New Roman" w:cs="Times New Roman" w:hint="default"/>
          <w:color w:val="auto"/>
          <w:highlight w:val="none"/>
          <w:lang w:val="en-US" w:eastAsia="zh-CN"/>
        </w:rPr>
      </w:pPr>
      <w:r>
        <w:rPr>
          <w:rFonts w:ascii="Times New Roman" w:hAnsi="Times New Roman" w:cs="Times New Roman" w:hint="eastAsia"/>
          <w:color w:val="auto"/>
          <w:highlight w:val="none"/>
          <w:lang w:eastAsia="zh-CN"/>
        </w:rPr>
        <w:t xml:space="preserve">2024年教育及培训经费（自有资金）</w:t>
      </w:r>
      <w:r>
        <w:rPr>
          <w:rFonts w:ascii="Times New Roman" w:hAnsi="Times New Roman" w:cs="Times New Roman" w:hint="eastAsia"/>
          <w:color w:val="auto"/>
          <w:highlight w:val="none"/>
          <w:lang w:val="en-US" w:eastAsia="zh-CN"/>
        </w:rPr>
        <w:t xml:space="preserve">年初</w:t>
      </w:r>
      <w:r>
        <w:rPr>
          <w:rFonts w:ascii="Times New Roman" w:eastAsia="仿宋_GB2312" w:hAnsi="Times New Roman" w:cs="Times New Roman" w:hint="default"/>
          <w:color w:val="auto"/>
          <w:highlight w:val="none"/>
        </w:rPr>
        <w:t xml:space="preserve">预算资金</w:t>
      </w:r>
      <w:bookmarkStart w:id="124" w:name="OLE_LINK13"/>
      <w:r>
        <w:rPr>
          <w:rFonts w:ascii="Times New Roman" w:hAnsi="Times New Roman" w:cs="Times New Roman" w:hint="eastAsia"/>
          <w:color w:val="auto"/>
          <w:highlight w:val="none"/>
          <w:lang w:val="en-US" w:eastAsia="zh-CN"/>
        </w:rPr>
        <w:t xml:space="preserve">28</w:t>
      </w:r>
      <w:bookmarkEnd w:id="124"/>
      <w:r>
        <w:rPr>
          <w:rFonts w:ascii="Times New Roman" w:hAnsi="Times New Roman" w:cs="Times New Roman" w:hint="eastAsia"/>
          <w:color w:val="auto"/>
          <w:highlight w:val="none"/>
          <w:lang w:val="en-US" w:eastAsia="zh-CN"/>
        </w:rPr>
        <w:t xml:space="preserve">0</w:t>
      </w:r>
      <w:r>
        <w:rPr>
          <w:rFonts w:ascii="Times New Roman" w:eastAsia="仿宋_GB2312" w:hAnsi="Times New Roman" w:cs="Times New Roman" w:hint="default"/>
          <w:color w:val="auto"/>
          <w:highlight w:val="none"/>
        </w:rPr>
        <w:t xml:space="preserve">万元，</w:t>
      </w:r>
      <w:r>
        <w:rPr>
          <w:rFonts w:ascii="Times New Roman" w:hAnsi="Times New Roman" w:cs="Times New Roman" w:hint="eastAsia"/>
          <w:color w:val="auto"/>
          <w:highlight w:val="none"/>
          <w:lang w:val="en-US" w:eastAsia="zh-CN"/>
        </w:rPr>
        <w:t xml:space="preserve">全年预算资金289.21</w:t>
      </w:r>
      <w:r>
        <w:rPr>
          <w:rFonts w:ascii="Times New Roman" w:eastAsia="仿宋_GB2312" w:hAnsi="Times New Roman" w:cs="Times New Roman" w:hint="default"/>
          <w:color w:val="auto"/>
          <w:highlight w:val="none"/>
        </w:rPr>
        <w:t xml:space="preserve">万元</w:t>
      </w:r>
      <w:r>
        <w:rPr>
          <w:rFonts w:ascii="Times New Roman" w:hAnsi="Times New Roman" w:cs="Times New Roman" w:hint="eastAsia"/>
          <w:color w:val="auto"/>
          <w:highlight w:val="none"/>
          <w:lang w:eastAsia="zh-CN"/>
        </w:rPr>
        <w:t xml:space="preserve">，</w:t>
      </w:r>
      <w:r>
        <w:rPr>
          <w:rFonts w:ascii="Times New Roman" w:eastAsia="仿宋_GB2312" w:hAnsi="Times New Roman" w:cs="Times New Roman" w:hint="default"/>
          <w:color w:val="auto"/>
          <w:highlight w:val="none"/>
        </w:rPr>
        <w:t xml:space="preserve">来源为</w:t>
      </w:r>
      <w:r>
        <w:rPr>
          <w:rFonts w:ascii="Times New Roman" w:hAnsi="Times New Roman" w:cs="Times New Roman" w:hint="eastAsia"/>
          <w:color w:val="auto"/>
          <w:highlight w:val="none"/>
          <w:lang w:val="en-US" w:eastAsia="zh-CN"/>
        </w:rPr>
        <w:t xml:space="preserve">自有</w:t>
      </w:r>
      <w:r>
        <w:rPr>
          <w:rFonts w:ascii="Times New Roman" w:eastAsia="仿宋_GB2312" w:hAnsi="Times New Roman" w:cs="Times New Roman" w:hint="default"/>
          <w:color w:val="auto"/>
          <w:highlight w:val="none"/>
        </w:rPr>
        <w:t xml:space="preserve">资金</w:t>
      </w:r>
      <w:bookmarkStart w:id="125" w:name="OLE_LINK23"/>
      <w:r>
        <w:rPr>
          <w:rFonts w:ascii="Times New Roman" w:hAnsi="Times New Roman" w:cs="Times New Roman" w:hint="eastAsia"/>
          <w:color w:val="auto"/>
          <w:highlight w:val="none"/>
          <w:lang w:val="en-US" w:eastAsia="zh-CN"/>
        </w:rPr>
        <w:t xml:space="preserve">289.21</w:t>
      </w:r>
      <w:r>
        <w:rPr>
          <w:rFonts w:ascii="Times New Roman" w:eastAsia="仿宋_GB2312" w:hAnsi="Times New Roman" w:cs="Times New Roman" w:hint="default"/>
          <w:color w:val="auto"/>
          <w:highlight w:val="none"/>
        </w:rPr>
        <w:t xml:space="preserve">万元</w:t>
      </w:r>
      <w:bookmarkEnd w:id="125"/>
      <w:r>
        <w:rPr>
          <w:rFonts w:ascii="Times New Roman" w:eastAsia="仿宋_GB2312" w:hAnsi="Times New Roman" w:cs="Times New Roman" w:hint="default"/>
          <w:color w:val="auto"/>
          <w:highlight w:val="none"/>
        </w:rPr>
        <w:t xml:space="preserve">，预算编制较为科学，预算内容与项目内容相匹配。</w:t>
      </w:r>
      <w:r>
        <w:rPr>
          <w:rFonts w:ascii="Times New Roman" w:hAnsi="Times New Roman" w:cs="Times New Roman" w:hint="eastAsia"/>
          <w:color w:val="auto"/>
          <w:highlight w:val="none"/>
          <w:lang w:val="en-US" w:eastAsia="zh-CN"/>
        </w:rPr>
        <w:t xml:space="preserve">但存在部分环节资金过剩，存在部分环节资金短缺的情况，比如之前</w:t>
      </w:r>
      <w:bookmarkStart w:id="126" w:name="OLE_LINK9"/>
      <w:r>
        <w:rPr>
          <w:rFonts w:ascii="Times New Roman" w:hAnsi="Times New Roman" w:cs="Times New Roman" w:hint="eastAsia"/>
          <w:color w:val="auto"/>
          <w:highlight w:val="none"/>
          <w:lang w:val="en-US" w:eastAsia="zh-CN"/>
        </w:rPr>
        <w:t xml:space="preserve">项目的培训成本年初设置绩效目标时，没有全面考虑资金所需情况，导致年末培训成本资金短缺</w:t>
      </w:r>
      <w:bookmarkEnd w:id="126"/>
      <w:r>
        <w:rPr>
          <w:rFonts w:ascii="Times New Roman" w:hAnsi="Times New Roman" w:cs="Times New Roman" w:hint="eastAsia"/>
          <w:color w:val="auto"/>
          <w:highlight w:val="none"/>
          <w:lang w:val="en-US" w:eastAsia="zh-CN"/>
        </w:rPr>
        <w:t xml:space="preserve">，不得不调整绩效目标，扣0.5分。</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w:t>
      </w:r>
      <w:r>
        <w:rPr>
          <w:rFonts w:ascii="Times New Roman" w:hAnsi="Times New Roman" w:cs="Times New Roman" w:hint="eastAsia"/>
          <w:color w:val="auto"/>
          <w:highlight w:val="none"/>
          <w:lang w:val="en-US" w:eastAsia="zh-CN"/>
        </w:rPr>
        <w:t xml:space="preserve">3.5</w:t>
      </w:r>
      <w:r>
        <w:rPr>
          <w:rFonts w:ascii="Times New Roman" w:eastAsia="仿宋_GB2312" w:hAnsi="Times New Roman" w:cs="Times New Roman" w:hint="default"/>
          <w:color w:val="auto"/>
          <w:highlight w:val="none"/>
        </w:rPr>
        <w:t xml:space="preserve">分。</w:t>
      </w:r>
    </w:p>
    <w:p>
      <w:pPr>
        <w:bidi w:val="0"/>
        <w:jc w:val="both"/>
        <w:rPr>
          <w:rFonts w:ascii="Times New Roman" w:eastAsia="仿宋_GB2312" w:hAnsi="Times New Roman" w:cs="Times New Roman" w:hint="default"/>
          <w:b/>
          <w:bCs/>
          <w:color w:val="auto"/>
          <w:highlight w:val="none"/>
        </w:rPr>
      </w:pPr>
      <w:bookmarkStart w:id="127" w:name="_Toc30661"/>
      <w:bookmarkStart w:id="128" w:name="_Toc21577"/>
      <w:r>
        <w:rPr>
          <w:rFonts w:ascii="Times New Roman" w:eastAsia="仿宋_GB2312" w:hAnsi="Times New Roman" w:cs="Times New Roman" w:hint="default"/>
          <w:b/>
          <w:bCs/>
          <w:color w:val="auto"/>
          <w:highlight w:val="none"/>
        </w:rPr>
        <w:t xml:space="preserve">6.资金分配合理性</w:t>
      </w:r>
      <w:bookmarkEnd w:id="127"/>
      <w:bookmarkEnd w:id="128"/>
    </w:p>
    <w:p>
      <w:pPr>
        <w:bidi w:val="0"/>
        <w:jc w:val="both"/>
        <w:rPr>
          <w:rFonts w:ascii="Times New Roman" w:eastAsia="仿宋_GB2312" w:hAnsi="Times New Roman" w:cs="Times New Roman" w:hint="default"/>
          <w:color w:val="auto"/>
          <w:highlight w:val="none"/>
        </w:rPr>
      </w:pPr>
      <w:r>
        <w:rPr>
          <w:rFonts w:ascii="Times New Roman" w:hAnsi="Times New Roman" w:cs="Times New Roman" w:hint="eastAsia"/>
          <w:color w:val="auto"/>
          <w:highlight w:val="none"/>
          <w:lang w:eastAsia="zh-CN"/>
        </w:rPr>
        <w:t xml:space="preserve">2024年教育及培训经费（自有资金）</w:t>
      </w:r>
      <w:r>
        <w:rPr>
          <w:rFonts w:ascii="Times New Roman" w:eastAsia="仿宋_GB2312" w:hAnsi="Times New Roman" w:cs="Times New Roman" w:hint="default"/>
          <w:color w:val="auto"/>
          <w:highlight w:val="none"/>
        </w:rPr>
        <w:t xml:space="preserve">预算资金分配依据充分；资金分配额度合理，与项目单位实际相适应。</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本项满分4分，评估得分4分。</w:t>
      </w:r>
    </w:p>
    <w:p>
      <w:pPr>
        <w:pStyle w:val="Heading3"/>
        <w:bidi w:val="0"/>
        <w:jc w:val="both"/>
        <w:outlineLvl w:val="1"/>
        <w:rPr>
          <w:rFonts w:ascii="楷体" w:eastAsia="楷体" w:hAnsi="楷体" w:cs="楷体" w:hint="eastAsia"/>
          <w:b/>
          <w:color w:val="auto"/>
          <w:highlight w:val="none"/>
        </w:rPr>
      </w:pPr>
      <w:bookmarkStart w:id="129" w:name="_Toc27855"/>
      <w:bookmarkStart w:id="130" w:name="_Toc10636"/>
      <w:bookmarkStart w:id="131" w:name="_Toc9897"/>
      <w:bookmarkStart w:id="132" w:name="_Toc13442"/>
      <w:bookmarkStart w:id="133" w:name="_Toc30992"/>
      <w:r>
        <w:rPr>
          <w:rFonts w:ascii="楷体" w:eastAsia="楷体" w:hAnsi="楷体" w:cs="楷体" w:hint="eastAsia"/>
          <w:b/>
          <w:color w:val="auto"/>
          <w:highlight w:val="none"/>
        </w:rPr>
        <w:t xml:space="preserve">（二）项目过程情况</w:t>
      </w:r>
      <w:bookmarkEnd w:id="129"/>
      <w:bookmarkEnd w:id="130"/>
      <w:bookmarkEnd w:id="131"/>
      <w:bookmarkEnd w:id="132"/>
      <w:bookmarkEnd w:id="133"/>
    </w:p>
    <w:p>
      <w:pPr>
        <w:bidi w:val="0"/>
        <w:jc w:val="both"/>
        <w:rPr>
          <w:rFonts w:ascii="Times New Roman" w:eastAsia="仿宋_GB2312" w:hAnsi="Times New Roman" w:cs="Times New Roman" w:hint="default"/>
          <w:b/>
          <w:bCs/>
          <w:color w:val="auto"/>
          <w:highlight w:val="none"/>
        </w:rPr>
      </w:pPr>
      <w:bookmarkStart w:id="134" w:name="_Toc19854"/>
      <w:bookmarkStart w:id="135" w:name="_Toc29417"/>
      <w:r>
        <w:rPr>
          <w:rFonts w:ascii="Times New Roman" w:eastAsia="仿宋_GB2312" w:hAnsi="Times New Roman" w:cs="Times New Roman" w:hint="default"/>
          <w:b/>
          <w:bCs/>
          <w:color w:val="auto"/>
          <w:highlight w:val="none"/>
        </w:rPr>
        <w:t xml:space="preserve">1.资金到位率</w:t>
      </w:r>
      <w:bookmarkEnd w:id="134"/>
      <w:bookmarkEnd w:id="135"/>
    </w:p>
    <w:p>
      <w:pPr>
        <w:bidi w:val="0"/>
        <w:jc w:val="both"/>
        <w:rPr>
          <w:rFonts w:ascii="Times New Roman" w:eastAsia="仿宋_GB2312" w:hAnsi="Times New Roman" w:cs="Times New Roman" w:hint="default"/>
          <w:color w:val="auto"/>
          <w:highlight w:val="none"/>
        </w:rPr>
      </w:pPr>
      <w:r>
        <w:rPr>
          <w:rFonts w:ascii="Times New Roman" w:hAnsi="Times New Roman" w:cs="Times New Roman" w:hint="eastAsia"/>
          <w:color w:val="auto"/>
          <w:highlight w:val="none"/>
          <w:lang w:eastAsia="zh-CN"/>
        </w:rPr>
        <w:t xml:space="preserve">2024年教育及培训经费（自有资金）</w:t>
      </w:r>
      <w:r>
        <w:rPr>
          <w:rFonts w:ascii="Times New Roman" w:hAnsi="Times New Roman" w:cs="Times New Roman" w:hint="eastAsia"/>
          <w:color w:val="auto"/>
          <w:highlight w:val="none"/>
          <w:lang w:val="en-US" w:eastAsia="zh-CN"/>
        </w:rPr>
        <w:t xml:space="preserve">全年</w:t>
      </w:r>
      <w:r>
        <w:rPr>
          <w:rFonts w:ascii="Times New Roman" w:eastAsia="仿宋_GB2312" w:hAnsi="Times New Roman" w:cs="Times New Roman" w:hint="default"/>
          <w:color w:val="auto"/>
          <w:highlight w:val="none"/>
        </w:rPr>
        <w:t xml:space="preserve">预算资金</w:t>
      </w:r>
      <w:r>
        <w:rPr>
          <w:rFonts w:ascii="Times New Roman" w:hAnsi="Times New Roman" w:cs="Times New Roman" w:hint="eastAsia"/>
          <w:color w:val="auto"/>
          <w:highlight w:val="none"/>
          <w:lang w:val="en-US" w:eastAsia="zh-CN"/>
        </w:rPr>
        <w:t xml:space="preserve">289.21</w:t>
      </w:r>
      <w:r>
        <w:rPr>
          <w:rFonts w:ascii="Times New Roman" w:eastAsia="仿宋_GB2312" w:hAnsi="Times New Roman" w:cs="Times New Roman" w:hint="default"/>
          <w:color w:val="auto"/>
          <w:highlight w:val="none"/>
        </w:rPr>
        <w:t xml:space="preserve">万元，实际到位资金</w:t>
      </w:r>
      <w:r>
        <w:rPr>
          <w:rFonts w:ascii="Times New Roman" w:hAnsi="Times New Roman" w:cs="Times New Roman" w:hint="eastAsia"/>
          <w:color w:val="auto"/>
          <w:highlight w:val="none"/>
          <w:lang w:val="en-US" w:eastAsia="zh-CN"/>
        </w:rPr>
        <w:t xml:space="preserve">289.21</w:t>
      </w:r>
      <w:r>
        <w:rPr>
          <w:rFonts w:ascii="Times New Roman" w:eastAsia="仿宋_GB2312" w:hAnsi="Times New Roman" w:cs="Times New Roman" w:hint="default"/>
          <w:color w:val="auto"/>
          <w:highlight w:val="none"/>
        </w:rPr>
        <w:t xml:space="preserve">万元，资金到位率100%。</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本项满分4分，评估得分4分。</w:t>
      </w:r>
    </w:p>
    <w:p>
      <w:pPr>
        <w:bidi w:val="0"/>
        <w:jc w:val="both"/>
        <w:rPr>
          <w:rFonts w:ascii="Times New Roman" w:eastAsia="仿宋_GB2312" w:hAnsi="Times New Roman" w:cs="Times New Roman" w:hint="default"/>
          <w:b/>
          <w:bCs/>
          <w:color w:val="auto"/>
          <w:highlight w:val="none"/>
        </w:rPr>
      </w:pPr>
      <w:bookmarkStart w:id="136" w:name="_Toc13724"/>
      <w:bookmarkStart w:id="137" w:name="_Toc29889"/>
      <w:r>
        <w:rPr>
          <w:rFonts w:ascii="Times New Roman" w:eastAsia="仿宋_GB2312" w:hAnsi="Times New Roman" w:cs="Times New Roman" w:hint="default"/>
          <w:b/>
          <w:bCs/>
          <w:color w:val="auto"/>
          <w:highlight w:val="none"/>
        </w:rPr>
        <w:t xml:space="preserve">2.预算执行率</w:t>
      </w:r>
      <w:bookmarkEnd w:id="136"/>
      <w:bookmarkEnd w:id="137"/>
    </w:p>
    <w:p>
      <w:pPr>
        <w:bidi w:val="0"/>
        <w:jc w:val="both"/>
        <w:rPr>
          <w:rFonts w:ascii="Times New Roman" w:eastAsia="仿宋_GB2312" w:hAnsi="Times New Roman" w:cs="Times New Roman" w:hint="default"/>
          <w:color w:val="auto"/>
          <w:highlight w:val="none"/>
        </w:rPr>
      </w:pPr>
      <w:r>
        <w:rPr>
          <w:rFonts w:ascii="Times New Roman" w:hAnsi="Times New Roman" w:cs="Times New Roman" w:hint="eastAsia"/>
          <w:color w:val="auto"/>
          <w:highlight w:val="none"/>
          <w:lang w:eastAsia="zh-CN"/>
        </w:rPr>
        <w:t xml:space="preserve">2024年教育及培训经费（自有资金）</w:t>
      </w:r>
      <w:r>
        <w:rPr>
          <w:rFonts w:ascii="Times New Roman" w:eastAsia="仿宋_GB2312" w:hAnsi="Times New Roman" w:cs="Times New Roman" w:hint="default"/>
          <w:color w:val="auto"/>
          <w:highlight w:val="none"/>
        </w:rPr>
        <w:t xml:space="preserve">到位资金</w:t>
      </w:r>
      <w:r>
        <w:rPr>
          <w:rFonts w:ascii="Times New Roman" w:hAnsi="Times New Roman" w:cs="Times New Roman" w:hint="eastAsia"/>
          <w:color w:val="auto"/>
          <w:highlight w:val="none"/>
          <w:lang w:val="en-US" w:eastAsia="zh-CN"/>
        </w:rPr>
        <w:t xml:space="preserve">289.21</w:t>
      </w:r>
      <w:r>
        <w:rPr>
          <w:rFonts w:ascii="Times New Roman" w:eastAsia="仿宋_GB2312" w:hAnsi="Times New Roman" w:cs="Times New Roman" w:hint="default"/>
          <w:color w:val="auto"/>
          <w:highlight w:val="none"/>
        </w:rPr>
        <w:t xml:space="preserve">万元，实际支付资金</w:t>
      </w:r>
      <w:r>
        <w:rPr>
          <w:rFonts w:ascii="Times New Roman" w:hAnsi="Times New Roman" w:cs="Times New Roman" w:hint="eastAsia"/>
          <w:color w:val="auto"/>
          <w:highlight w:val="none"/>
          <w:lang w:val="en-US" w:eastAsia="zh-CN"/>
        </w:rPr>
        <w:t xml:space="preserve">289.21</w:t>
      </w:r>
      <w:r>
        <w:rPr>
          <w:rFonts w:ascii="Times New Roman" w:eastAsia="仿宋_GB2312" w:hAnsi="Times New Roman" w:cs="Times New Roman" w:hint="default"/>
          <w:color w:val="auto"/>
          <w:highlight w:val="none"/>
        </w:rPr>
        <w:t xml:space="preserve">万元，预算执行率为</w:t>
      </w:r>
      <w:r>
        <w:rPr>
          <w:rFonts w:ascii="Times New Roman" w:eastAsia="仿宋_GB2312" w:hAnsi="Times New Roman" w:cs="Times New Roman" w:hint="default"/>
          <w:color w:val="auto"/>
          <w:highlight w:val="none"/>
          <w:lang w:val="en-US" w:eastAsia="zh-CN"/>
        </w:rPr>
        <w:t xml:space="preserve">100</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w:t>
      </w:r>
      <w:r>
        <w:rPr>
          <w:rFonts w:ascii="Times New Roman" w:eastAsia="仿宋_GB2312" w:hAnsi="Times New Roman" w:cs="Times New Roman" w:hint="default"/>
          <w:color w:val="auto"/>
          <w:highlight w:val="none"/>
          <w:lang w:val="en-US" w:eastAsia="zh-CN"/>
        </w:rPr>
        <w:t xml:space="preserve">4</w:t>
      </w:r>
      <w:r>
        <w:rPr>
          <w:rFonts w:ascii="Times New Roman" w:eastAsia="仿宋_GB2312" w:hAnsi="Times New Roman" w:cs="Times New Roman" w:hint="default"/>
          <w:color w:val="auto"/>
          <w:highlight w:val="none"/>
        </w:rPr>
        <w:t xml:space="preserve">分。</w:t>
      </w:r>
    </w:p>
    <w:p>
      <w:pPr>
        <w:bidi w:val="0"/>
        <w:jc w:val="both"/>
        <w:rPr>
          <w:rFonts w:ascii="Times New Roman" w:eastAsia="仿宋_GB2312" w:hAnsi="Times New Roman" w:cs="Times New Roman" w:hint="default"/>
          <w:b/>
          <w:bCs/>
          <w:color w:val="auto"/>
          <w:highlight w:val="none"/>
        </w:rPr>
      </w:pPr>
      <w:bookmarkStart w:id="138" w:name="_Toc8316"/>
      <w:bookmarkStart w:id="139" w:name="_Toc2484"/>
      <w:r>
        <w:rPr>
          <w:rFonts w:ascii="Times New Roman" w:eastAsia="仿宋_GB2312" w:hAnsi="Times New Roman" w:cs="Times New Roman" w:hint="default"/>
          <w:b/>
          <w:bCs/>
          <w:color w:val="auto"/>
          <w:highlight w:val="none"/>
        </w:rPr>
        <w:t xml:space="preserve">3.资金使用合规性</w:t>
      </w:r>
      <w:bookmarkEnd w:id="138"/>
      <w:bookmarkEnd w:id="139"/>
    </w:p>
    <w:p>
      <w:pPr>
        <w:bidi w:val="0"/>
        <w:jc w:val="both"/>
        <w:rPr>
          <w:rFonts w:ascii="Times New Roman" w:eastAsia="仿宋_GB2312" w:hAnsi="Times New Roman" w:cs="Times New Roman" w:hint="default"/>
          <w:color w:val="auto"/>
          <w:highlight w:val="none"/>
        </w:rPr>
      </w:pPr>
      <w:r>
        <w:rPr>
          <w:rFonts w:ascii="Times New Roman" w:hAnsi="Times New Roman" w:cs="Times New Roman" w:hint="eastAsia"/>
          <w:color w:val="auto"/>
          <w:highlight w:val="none"/>
          <w:lang w:eastAsia="zh-CN"/>
        </w:rPr>
        <w:t xml:space="preserve">2024年教育及培训经费（自有资金）</w:t>
      </w:r>
      <w:r>
        <w:rPr>
          <w:rFonts w:ascii="Times New Roman" w:hAnsi="Times New Roman" w:cs="Times New Roman" w:hint="eastAsia"/>
          <w:color w:val="auto"/>
          <w:highlight w:val="none"/>
          <w:lang w:val="en-US" w:eastAsia="zh-CN"/>
        </w:rPr>
        <w:t xml:space="preserve">项目</w:t>
      </w:r>
      <w:r>
        <w:rPr>
          <w:rFonts w:ascii="Times New Roman" w:eastAsia="仿宋_GB2312" w:hAnsi="Times New Roman" w:cs="Times New Roman" w:hint="default"/>
          <w:color w:val="auto"/>
          <w:highlight w:val="none"/>
        </w:rPr>
        <w:t xml:space="preserve">资金的使用符合</w:t>
      </w:r>
      <w:r>
        <w:rPr>
          <w:rFonts w:ascii="Times New Roman" w:eastAsia="仿宋_GB2312" w:hAnsi="Times New Roman" w:cs="Times New Roman" w:hint="default"/>
          <w:color w:val="auto"/>
          <w:highlight w:val="none"/>
          <w:lang w:val="en-US" w:eastAsia="zh-CN"/>
        </w:rPr>
        <w:t xml:space="preserve">《中华人民共和国预算法》《中华人民共和国会计法》等</w:t>
      </w:r>
      <w:r>
        <w:rPr>
          <w:rFonts w:ascii="Times New Roman" w:eastAsia="仿宋_GB2312" w:hAnsi="Times New Roman" w:cs="Times New Roman" w:hint="default"/>
          <w:color w:val="auto"/>
          <w:highlight w:val="none"/>
          <w:lang w:eastAsia="zh-CN"/>
        </w:rPr>
        <w:t xml:space="preserve">国家</w:t>
      </w:r>
      <w:r>
        <w:rPr>
          <w:rFonts w:ascii="Times New Roman" w:eastAsia="仿宋_GB2312" w:hAnsi="Times New Roman" w:cs="Times New Roman" w:hint="default"/>
          <w:color w:val="auto"/>
          <w:highlight w:val="none"/>
          <w:lang w:val="en-US" w:eastAsia="zh-CN"/>
        </w:rPr>
        <w:t xml:space="preserve">有关</w:t>
      </w:r>
      <w:r>
        <w:rPr>
          <w:rFonts w:ascii="Times New Roman" w:eastAsia="仿宋_GB2312" w:hAnsi="Times New Roman" w:cs="Times New Roman" w:hint="default"/>
          <w:color w:val="auto"/>
          <w:highlight w:val="none"/>
          <w:lang w:eastAsia="zh-CN"/>
        </w:rPr>
        <w:t xml:space="preserve">财经法规</w:t>
      </w:r>
      <w:r>
        <w:rPr>
          <w:rFonts w:ascii="Times New Roman" w:eastAsia="仿宋_GB2312" w:hAnsi="Times New Roman" w:cs="Times New Roman" w:hint="default"/>
          <w:color w:val="auto"/>
          <w:highlight w:val="none"/>
          <w:lang w:val="en-US" w:eastAsia="zh-CN"/>
        </w:rPr>
        <w:t xml:space="preserve">以及预算管理制度。</w:t>
      </w:r>
      <w:r>
        <w:rPr>
          <w:rFonts w:ascii="Times New Roman" w:eastAsia="仿宋_GB2312" w:hAnsi="Times New Roman" w:cs="Times New Roman" w:hint="default"/>
          <w:color w:val="auto"/>
          <w:highlight w:val="none"/>
        </w:rPr>
        <w:t xml:space="preserve">资金的</w:t>
      </w:r>
      <w:r>
        <w:rPr>
          <w:rFonts w:ascii="Times New Roman" w:eastAsia="仿宋_GB2312" w:hAnsi="Times New Roman" w:cs="Times New Roman" w:hint="default"/>
          <w:color w:val="auto"/>
          <w:highlight w:val="none"/>
          <w:lang w:val="en-US" w:eastAsia="zh-CN"/>
        </w:rPr>
        <w:t xml:space="preserve">审批和</w:t>
      </w:r>
      <w:r>
        <w:rPr>
          <w:rFonts w:ascii="Times New Roman" w:eastAsia="仿宋_GB2312" w:hAnsi="Times New Roman" w:cs="Times New Roman" w:hint="default"/>
          <w:color w:val="auto"/>
          <w:highlight w:val="none"/>
        </w:rPr>
        <w:t xml:space="preserve">拨付</w:t>
      </w:r>
      <w:r>
        <w:rPr>
          <w:rFonts w:ascii="Times New Roman" w:eastAsia="仿宋_GB2312" w:hAnsi="Times New Roman" w:cs="Times New Roman" w:hint="default"/>
          <w:color w:val="auto"/>
          <w:highlight w:val="none"/>
          <w:lang w:val="en-US" w:eastAsia="zh-CN"/>
        </w:rPr>
        <w:t xml:space="preserve">按照《</w:t>
      </w:r>
      <w:r>
        <w:rPr>
          <w:rFonts w:ascii="Times New Roman" w:hAnsi="Times New Roman" w:cs="Times New Roman" w:hint="eastAsia"/>
          <w:color w:val="auto"/>
          <w:highlight w:val="none"/>
          <w:lang w:val="en-US" w:eastAsia="zh-CN"/>
        </w:rPr>
        <w:t xml:space="preserve">尉犁</w:t>
      </w:r>
      <w:r>
        <w:rPr>
          <w:rFonts w:ascii="Times New Roman" w:eastAsia="仿宋_GB2312" w:hAnsi="Times New Roman" w:cs="Times New Roman" w:hint="default"/>
          <w:color w:val="auto"/>
          <w:highlight w:val="none"/>
          <w:lang w:val="en-US" w:eastAsia="zh-CN"/>
        </w:rPr>
        <w:t xml:space="preserve">县财政资金审批管理办法》执行</w:t>
      </w:r>
      <w:r>
        <w:rPr>
          <w:rFonts w:ascii="Times New Roman" w:eastAsia="仿宋_GB2312" w:hAnsi="Times New Roman" w:cs="Times New Roman" w:hint="default"/>
          <w:color w:val="auto"/>
          <w:highlight w:val="none"/>
        </w:rPr>
        <w:t xml:space="preserve">。</w:t>
      </w:r>
      <w:r>
        <w:rPr>
          <w:rFonts w:ascii="Times New Roman" w:hAnsi="Times New Roman" w:cs="Times New Roman" w:hint="eastAsia"/>
          <w:color w:val="auto"/>
          <w:highlight w:val="none"/>
          <w:lang w:eastAsia="zh-CN"/>
        </w:rPr>
        <w:t xml:space="preserve">尉犁县技工学校将自有资金使用合规性置于关键位置，严格遵守《事业单位财务规则》，确保资金使用全程</w:t>
      </w:r>
      <w:r>
        <w:rPr>
          <w:rFonts w:ascii="Times New Roman" w:hAnsi="Times New Roman" w:cs="Times New Roman" w:hint="eastAsia"/>
          <w:color w:val="auto"/>
          <w:highlight w:val="none"/>
          <w:lang w:val="en-US" w:eastAsia="zh-CN"/>
        </w:rPr>
        <w:t xml:space="preserve">符</w:t>
      </w:r>
      <w:r>
        <w:rPr>
          <w:rFonts w:ascii="Times New Roman" w:hAnsi="Times New Roman" w:cs="Times New Roman" w:hint="eastAsia"/>
          <w:color w:val="auto"/>
          <w:highlight w:val="none"/>
          <w:lang w:eastAsia="zh-CN"/>
        </w:rPr>
        <w:t xml:space="preserve">合法律规范，为资金安全与合理运用铸牢法律防线。</w:t>
      </w:r>
      <w:r>
        <w:rPr>
          <w:rFonts w:ascii="Times New Roman" w:eastAsia="仿宋_GB2312" w:hAnsi="Times New Roman" w:cs="Times New Roman" w:hint="default"/>
          <w:color w:val="auto"/>
          <w:highlight w:val="none"/>
        </w:rPr>
        <w:t xml:space="preserve">资金的</w:t>
      </w:r>
      <w:r>
        <w:rPr>
          <w:rFonts w:ascii="Times New Roman" w:hAnsi="Times New Roman" w:cs="Times New Roman" w:hint="eastAsia"/>
          <w:color w:val="auto"/>
          <w:highlight w:val="none"/>
          <w:lang w:eastAsia="zh-CN"/>
        </w:rPr>
        <w:t xml:space="preserve">使用上，紧密围绕单位的核心业务与职能履行，全力保障我单位公益服务目标达成，切实维护资金使用的合理性和有效性。自有资金的支出</w:t>
      </w:r>
      <w:r>
        <w:rPr>
          <w:rFonts w:ascii="Times New Roman" w:eastAsia="仿宋_GB2312" w:hAnsi="Times New Roman" w:cs="Times New Roman" w:hint="default"/>
          <w:color w:val="auto"/>
          <w:highlight w:val="none"/>
        </w:rPr>
        <w:t xml:space="preserve">符合</w:t>
      </w:r>
      <w:r>
        <w:rPr>
          <w:rFonts w:ascii="Times New Roman" w:hAnsi="Times New Roman" w:cs="Times New Roman" w:hint="eastAsia"/>
          <w:color w:val="auto"/>
          <w:highlight w:val="none"/>
          <w:lang w:eastAsia="zh-CN"/>
        </w:rPr>
        <w:t xml:space="preserve">自有</w:t>
      </w:r>
      <w:r>
        <w:rPr>
          <w:rFonts w:ascii="Times New Roman" w:eastAsia="仿宋_GB2312" w:hAnsi="Times New Roman" w:cs="Times New Roman" w:hint="default"/>
          <w:color w:val="auto"/>
          <w:highlight w:val="none"/>
        </w:rPr>
        <w:t xml:space="preserve">资金支持的范围。不存在截留、挤占、挪用、虚列支出等情况。</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本项满分4分，评估得分4分。</w:t>
      </w:r>
    </w:p>
    <w:p>
      <w:pPr>
        <w:bidi w:val="0"/>
        <w:jc w:val="both"/>
        <w:rPr>
          <w:rFonts w:ascii="Times New Roman" w:eastAsia="仿宋_GB2312" w:hAnsi="Times New Roman" w:cs="Times New Roman" w:hint="default"/>
          <w:b/>
          <w:bCs/>
          <w:color w:val="auto"/>
          <w:highlight w:val="none"/>
        </w:rPr>
      </w:pPr>
      <w:bookmarkStart w:id="140" w:name="_Toc20651"/>
      <w:bookmarkStart w:id="141" w:name="_Toc15332"/>
      <w:r>
        <w:rPr>
          <w:rFonts w:ascii="Times New Roman" w:eastAsia="仿宋_GB2312" w:hAnsi="Times New Roman" w:cs="Times New Roman" w:hint="default"/>
          <w:b/>
          <w:bCs/>
          <w:color w:val="auto"/>
          <w:highlight w:val="none"/>
        </w:rPr>
        <w:t xml:space="preserve">4.管理制度健全性</w:t>
      </w:r>
      <w:bookmarkEnd w:id="140"/>
      <w:bookmarkEnd w:id="141"/>
    </w:p>
    <w:p>
      <w:pPr>
        <w:bidi w:val="0"/>
        <w:jc w:val="both"/>
        <w:rPr>
          <w:rFonts w:ascii="Times New Roman" w:eastAsia="仿宋_GB2312" w:hAnsi="Times New Roman" w:cs="Times New Roman" w:hint="default"/>
          <w:color w:val="auto"/>
          <w:highlight w:val="none"/>
        </w:rPr>
      </w:pPr>
      <w:r>
        <w:rPr>
          <w:rFonts w:cs="Times New Roman" w:hint="eastAsia"/>
          <w:color w:val="auto"/>
          <w:kern w:val="2"/>
          <w:sz w:val="32"/>
          <w:szCs w:val="24"/>
          <w:highlight w:val="none"/>
          <w:lang w:val="en-US" w:eastAsia="zh-CN" w:bidi="ar-SA"/>
        </w:rPr>
        <w:t xml:space="preserve">尉犁县技工学校</w:t>
      </w:r>
      <w:r>
        <w:rPr>
          <w:rFonts w:ascii="Times New Roman" w:eastAsia="仿宋_GB2312" w:hAnsi="Times New Roman" w:cs="Times New Roman" w:hint="default"/>
          <w:color w:val="auto"/>
          <w:highlight w:val="none"/>
        </w:rPr>
        <w:t xml:space="preserve">制定了</w:t>
      </w:r>
      <w:r>
        <w:rPr>
          <w:rFonts w:ascii="Times New Roman" w:eastAsia="仿宋_GB2312" w:hAnsi="Times New Roman" w:cs="Times New Roman" w:hint="default"/>
          <w:color w:val="auto"/>
          <w:highlight w:val="none"/>
          <w:lang w:val="en-US" w:eastAsia="zh-CN"/>
        </w:rPr>
        <w:t xml:space="preserve">《</w:t>
      </w:r>
      <w:r>
        <w:rPr>
          <w:rFonts w:cs="Times New Roman" w:hint="eastAsia"/>
          <w:color w:val="auto"/>
          <w:kern w:val="2"/>
          <w:sz w:val="32"/>
          <w:szCs w:val="24"/>
          <w:highlight w:val="none"/>
          <w:lang w:val="en-US" w:eastAsia="zh-CN" w:bidi="ar-SA"/>
        </w:rPr>
        <w:t xml:space="preserve">尉犁县技工学校</w:t>
      </w:r>
      <w:r>
        <w:rPr>
          <w:rFonts w:ascii="Times New Roman" w:eastAsia="仿宋_GB2312" w:hAnsi="Times New Roman" w:cs="Times New Roman" w:hint="default"/>
          <w:color w:val="auto"/>
          <w:highlight w:val="none"/>
          <w:lang w:val="en-US" w:eastAsia="zh-CN"/>
        </w:rPr>
        <w:t xml:space="preserve">财务管理制度》和《</w:t>
      </w:r>
      <w:r>
        <w:rPr>
          <w:rFonts w:cs="Times New Roman" w:hint="eastAsia"/>
          <w:color w:val="auto"/>
          <w:kern w:val="2"/>
          <w:sz w:val="32"/>
          <w:szCs w:val="24"/>
          <w:highlight w:val="none"/>
          <w:lang w:val="en-US" w:eastAsia="zh-CN" w:bidi="ar-SA"/>
        </w:rPr>
        <w:t xml:space="preserve">尉犁县技工学校</w:t>
      </w:r>
      <w:r>
        <w:rPr>
          <w:rFonts w:ascii="Times New Roman" w:eastAsia="仿宋_GB2312" w:hAnsi="Times New Roman" w:cs="Times New Roman" w:hint="default"/>
          <w:color w:val="auto"/>
          <w:highlight w:val="none"/>
          <w:lang w:val="en-US" w:eastAsia="zh-CN"/>
        </w:rPr>
        <w:t xml:space="preserve">预算管理内控制度》，制定了较为全面的项目管理制度，对项目实施、组织与管理、跟踪与验收、监督与评价以及资金管理等方面都做出明确的规范要求。同时，项目的实施严格遵守《中华人民共和国预算法》《中华人民共和国会计法》等法律法规、财经制度的要求，</w:t>
      </w:r>
      <w:r>
        <w:rPr>
          <w:rFonts w:ascii="Times New Roman" w:eastAsia="仿宋_GB2312" w:hAnsi="Times New Roman" w:cs="Times New Roman" w:hint="default"/>
          <w:color w:val="auto"/>
          <w:highlight w:val="none"/>
        </w:rPr>
        <w:t xml:space="preserve">资金管理等方面都做出明确的规范的要求</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财务制度和业务管理制度</w:t>
      </w:r>
      <w:r>
        <w:rPr>
          <w:rFonts w:ascii="Times New Roman" w:eastAsia="仿宋_GB2312" w:hAnsi="Times New Roman" w:cs="Times New Roman" w:hint="default"/>
          <w:color w:val="auto"/>
          <w:highlight w:val="none"/>
          <w:lang w:val="en-US" w:eastAsia="zh-CN"/>
        </w:rPr>
        <w:t xml:space="preserve">健全</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本项满分3分，评估得分3分。</w:t>
      </w:r>
    </w:p>
    <w:p>
      <w:pPr>
        <w:bidi w:val="0"/>
        <w:jc w:val="both"/>
        <w:rPr>
          <w:rFonts w:ascii="Times New Roman" w:eastAsia="仿宋_GB2312" w:hAnsi="Times New Roman" w:cs="Times New Roman" w:hint="default"/>
          <w:b/>
          <w:bCs/>
          <w:color w:val="auto"/>
          <w:highlight w:val="none"/>
        </w:rPr>
      </w:pPr>
      <w:bookmarkStart w:id="142" w:name="_Toc14853"/>
      <w:bookmarkStart w:id="143" w:name="_Toc14023"/>
      <w:r>
        <w:rPr>
          <w:rFonts w:ascii="Times New Roman" w:eastAsia="仿宋_GB2312" w:hAnsi="Times New Roman" w:cs="Times New Roman" w:hint="default"/>
          <w:b/>
          <w:bCs/>
          <w:color w:val="auto"/>
          <w:highlight w:val="none"/>
        </w:rPr>
        <w:t xml:space="preserve">5.制度执行有效性</w:t>
      </w:r>
      <w:bookmarkEnd w:id="142"/>
      <w:bookmarkEnd w:id="143"/>
    </w:p>
    <w:p>
      <w:pPr>
        <w:bidi w:val="0"/>
        <w:jc w:val="both"/>
        <w:rPr>
          <w:rFonts w:ascii="Times New Roman" w:eastAsia="仿宋_GB2312" w:hAnsi="Times New Roman" w:cs="Times New Roman" w:hint="default"/>
          <w:color w:val="auto"/>
          <w:highlight w:val="none"/>
          <w:lang w:val="en-US" w:eastAsia="zh-CN"/>
        </w:rPr>
      </w:pPr>
      <w:r>
        <w:rPr>
          <w:rFonts w:ascii="Times New Roman" w:hAnsi="Times New Roman" w:cs="Times New Roman" w:hint="eastAsia"/>
          <w:color w:val="auto"/>
          <w:highlight w:val="none"/>
          <w:lang w:eastAsia="zh-CN"/>
        </w:rPr>
        <w:t xml:space="preserve">2024年教育及培训经费（自有资金）</w:t>
      </w:r>
      <w:r>
        <w:rPr>
          <w:rFonts w:ascii="Times New Roman" w:eastAsia="仿宋_GB2312" w:hAnsi="Times New Roman" w:cs="Times New Roman" w:hint="default"/>
          <w:color w:val="auto"/>
          <w:highlight w:val="none"/>
        </w:rPr>
        <w:t xml:space="preserve">在实施过程中严格遵守相关法律法规和相关管理规定，如《中华人民共和国预算法</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中华人民共和国会计法</w:t>
      </w:r>
      <w:r>
        <w:rPr>
          <w:rFonts w:ascii="Times New Roman" w:eastAsia="仿宋_GB2312" w:hAnsi="Times New Roman" w:cs="Times New Roman" w:hint="default"/>
          <w:color w:val="auto"/>
          <w:highlight w:val="none"/>
          <w:lang w:eastAsia="zh-CN"/>
        </w:rPr>
        <w:t xml:space="preserve">》《</w:t>
      </w:r>
      <w:bookmarkStart w:id="144" w:name="OLE_LINK19"/>
      <w:r>
        <w:rPr>
          <w:rFonts w:ascii="Times New Roman" w:eastAsia="仿宋_GB2312" w:hAnsi="Times New Roman" w:cs="Times New Roman" w:hint="default"/>
          <w:color w:val="auto"/>
          <w:highlight w:val="none"/>
        </w:rPr>
        <w:t xml:space="preserve">中华人民共和国</w:t>
      </w:r>
      <w:r>
        <w:rPr>
          <w:rFonts w:ascii="Times New Roman" w:hAnsi="Times New Roman" w:cs="Times New Roman" w:hint="eastAsia"/>
          <w:color w:val="auto"/>
          <w:highlight w:val="none"/>
          <w:lang w:val="en-US" w:eastAsia="zh-CN"/>
        </w:rPr>
        <w:t xml:space="preserve">政府</w:t>
      </w:r>
      <w:r>
        <w:rPr>
          <w:rFonts w:ascii="Times New Roman" w:eastAsia="仿宋_GB2312" w:hAnsi="Times New Roman" w:cs="Times New Roman" w:hint="default"/>
          <w:color w:val="auto"/>
          <w:highlight w:val="none"/>
        </w:rPr>
        <w:t xml:space="preserve">采购法</w:t>
      </w:r>
      <w:bookmarkEnd w:id="144"/>
      <w:r>
        <w:rPr>
          <w:rFonts w:ascii="Times New Roman" w:eastAsia="仿宋_GB2312" w:hAnsi="Times New Roman" w:cs="Times New Roman" w:hint="default"/>
          <w:color w:val="auto"/>
          <w:highlight w:val="none"/>
        </w:rPr>
        <w:t xml:space="preserve">》等，严格执行基本程序，执行项目法人责任制。有关资料齐全，并及时整理归档。</w:t>
      </w:r>
      <w:r>
        <w:rPr>
          <w:rFonts w:ascii="Times New Roman" w:hAnsi="Times New Roman" w:cs="Times New Roman" w:hint="eastAsia"/>
          <w:color w:val="auto"/>
          <w:highlight w:val="none"/>
          <w:lang w:val="en-US" w:eastAsia="zh-CN"/>
        </w:rPr>
        <w:t xml:space="preserve">2024年教育及培训经费（自有资金）</w:t>
      </w:r>
      <w:r>
        <w:rPr>
          <w:rFonts w:ascii="Times New Roman" w:eastAsia="仿宋_GB2312" w:hAnsi="Times New Roman" w:cs="Times New Roman" w:hint="default"/>
          <w:color w:val="auto"/>
          <w:highlight w:val="none"/>
          <w:lang w:val="en-US" w:eastAsia="zh-CN"/>
        </w:rPr>
        <w:t xml:space="preserve">无项目调整及支出调整，制度执行有效性较高。</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本项满分3分，评估得分3分。</w:t>
      </w:r>
    </w:p>
    <w:p>
      <w:pPr>
        <w:pStyle w:val="Heading3"/>
        <w:bidi w:val="0"/>
        <w:jc w:val="both"/>
        <w:outlineLvl w:val="1"/>
        <w:rPr>
          <w:rFonts w:ascii="楷体" w:eastAsia="楷体" w:hAnsi="楷体" w:cs="楷体" w:hint="eastAsia"/>
          <w:color w:val="auto"/>
          <w:highlight w:val="none"/>
        </w:rPr>
      </w:pPr>
      <w:bookmarkStart w:id="145" w:name="_Toc6865"/>
      <w:bookmarkStart w:id="146" w:name="_Toc15423"/>
      <w:bookmarkStart w:id="147" w:name="_Toc5161"/>
      <w:bookmarkStart w:id="148" w:name="_Toc22156"/>
      <w:bookmarkStart w:id="149" w:name="_Toc31545"/>
      <w:r>
        <w:rPr>
          <w:rFonts w:ascii="楷体" w:eastAsia="楷体" w:hAnsi="楷体" w:cs="楷体" w:hint="eastAsia"/>
          <w:color w:val="auto"/>
          <w:highlight w:val="none"/>
        </w:rPr>
        <w:t xml:space="preserve">（三）项目产出情况</w:t>
      </w:r>
      <w:bookmarkEnd w:id="145"/>
      <w:bookmarkEnd w:id="146"/>
      <w:bookmarkEnd w:id="147"/>
      <w:bookmarkEnd w:id="148"/>
      <w:bookmarkEnd w:id="149"/>
    </w:p>
    <w:p>
      <w:pPr>
        <w:bidi w:val="0"/>
        <w:jc w:val="both"/>
        <w:rPr>
          <w:rFonts w:ascii="Times New Roman" w:eastAsia="仿宋_GB2312" w:hAnsi="Times New Roman" w:cs="Times New Roman" w:hint="default"/>
          <w:b/>
          <w:bCs/>
          <w:color w:val="auto"/>
          <w:highlight w:val="none"/>
        </w:rPr>
      </w:pPr>
      <w:bookmarkStart w:id="150" w:name="_Toc4184"/>
      <w:bookmarkStart w:id="151" w:name="_Toc31041"/>
      <w:r>
        <w:rPr>
          <w:rFonts w:ascii="Times New Roman" w:eastAsia="仿宋_GB2312" w:hAnsi="Times New Roman" w:cs="Times New Roman" w:hint="default"/>
          <w:b/>
          <w:bCs/>
          <w:color w:val="auto"/>
          <w:highlight w:val="none"/>
        </w:rPr>
        <w:t xml:space="preserve">1.产出数量</w:t>
      </w:r>
      <w:bookmarkEnd w:id="150"/>
      <w:bookmarkEnd w:id="151"/>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数量指标：</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bCs/>
          <w:color w:val="auto"/>
          <w:szCs w:val="32"/>
          <w:highlight w:val="none"/>
          <w:lang w:val="en-US" w:eastAsia="zh-CN"/>
        </w:rPr>
        <w:t xml:space="preserve">指标1：</w:t>
      </w:r>
      <w:r>
        <w:rPr>
          <w:rFonts w:ascii="Times New Roman" w:hAnsi="Times New Roman" w:cs="Times New Roman" w:hint="eastAsia"/>
          <w:color w:val="auto"/>
          <w:highlight w:val="none"/>
          <w:lang w:val="en-US" w:eastAsia="zh-CN"/>
        </w:rPr>
        <w:t xml:space="preserve">外聘教师人数</w:t>
      </w:r>
      <w:r>
        <w:rPr>
          <w:rFonts w:ascii="Times New Roman" w:eastAsia="仿宋_GB2312" w:hAnsi="Times New Roman" w:cs="Times New Roman" w:hint="default"/>
          <w:color w:val="auto"/>
          <w:highlight w:val="none"/>
        </w:rPr>
        <w:t xml:space="preserve">，预期指标值</w:t>
      </w:r>
      <w:r>
        <w:rPr>
          <w:rFonts w:ascii="Times New Roman" w:hAnsi="Times New Roman" w:cs="Times New Roman" w:hint="eastAsia"/>
          <w:color w:val="auto"/>
          <w:highlight w:val="none"/>
          <w:lang w:val="en-US" w:eastAsia="zh-CN"/>
        </w:rPr>
        <w:t xml:space="preserve">大于或等于15人</w:t>
      </w:r>
      <w:r>
        <w:rPr>
          <w:rFonts w:ascii="Times New Roman" w:eastAsia="仿宋_GB2312" w:hAnsi="Times New Roman" w:cs="Times New Roman" w:hint="default"/>
          <w:color w:val="auto"/>
          <w:highlight w:val="none"/>
        </w:rPr>
        <w:t xml:space="preserve">，指标完成值：</w:t>
      </w:r>
      <w:r>
        <w:rPr>
          <w:rFonts w:ascii="Times New Roman" w:hAnsi="Times New Roman" w:cs="Times New Roman" w:hint="eastAsia"/>
          <w:color w:val="auto"/>
          <w:highlight w:val="none"/>
          <w:lang w:val="en-US" w:eastAsia="zh-CN"/>
        </w:rPr>
        <w:t xml:space="preserve">等于15人</w:t>
      </w:r>
      <w:r>
        <w:rPr>
          <w:rFonts w:ascii="Times New Roman" w:eastAsia="仿宋_GB2312" w:hAnsi="Times New Roman" w:cs="Times New Roman" w:hint="default"/>
          <w:color w:val="auto"/>
          <w:highlight w:val="none"/>
        </w:rPr>
        <w:t xml:space="preserve">，完成率：</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color w:val="auto"/>
          <w:highlight w:val="none"/>
        </w:rPr>
      </w:pPr>
      <w:bookmarkStart w:id="152" w:name="OLE_LINK14"/>
      <w:r>
        <w:rPr>
          <w:rFonts w:ascii="Times New Roman" w:eastAsia="仿宋_GB2312" w:hAnsi="Times New Roman" w:cs="Times New Roman" w:hint="default"/>
          <w:b w:val="0"/>
          <w:bCs/>
          <w:color w:val="auto"/>
          <w:kern w:val="2"/>
          <w:sz w:val="32"/>
          <w:szCs w:val="32"/>
          <w:highlight w:val="none"/>
          <w:lang w:val="en-US" w:eastAsia="zh-CN" w:bidi="ar-SA"/>
        </w:rPr>
        <w:t xml:space="preserve">指标2：</w:t>
      </w:r>
      <w:r>
        <w:rPr>
          <w:rFonts w:ascii="Times New Roman" w:hAnsi="Times New Roman" w:cs="Times New Roman" w:hint="eastAsia"/>
          <w:color w:val="auto"/>
          <w:highlight w:val="none"/>
          <w:lang w:val="en-US" w:eastAsia="zh-CN"/>
        </w:rPr>
        <w:t xml:space="preserve">开设培训期数</w:t>
      </w:r>
      <w:r>
        <w:rPr>
          <w:rFonts w:ascii="Times New Roman" w:eastAsia="仿宋_GB2312" w:hAnsi="Times New Roman" w:cs="Times New Roman" w:hint="default"/>
          <w:color w:val="auto"/>
          <w:highlight w:val="none"/>
        </w:rPr>
        <w:t xml:space="preserve">，预期指标值</w:t>
      </w:r>
      <w:r>
        <w:rPr>
          <w:rFonts w:ascii="Times New Roman" w:hAnsi="Times New Roman" w:cs="Times New Roman" w:hint="eastAsia"/>
          <w:color w:val="auto"/>
          <w:highlight w:val="none"/>
          <w:lang w:val="en-US" w:eastAsia="zh-CN"/>
        </w:rPr>
        <w:t xml:space="preserve">大于或等于5期</w:t>
      </w:r>
      <w:r>
        <w:rPr>
          <w:rFonts w:ascii="Times New Roman" w:eastAsia="仿宋_GB2312" w:hAnsi="Times New Roman" w:cs="Times New Roman" w:hint="default"/>
          <w:color w:val="auto"/>
          <w:highlight w:val="none"/>
        </w:rPr>
        <w:t xml:space="preserve">，指标完成值：</w:t>
      </w:r>
      <w:bookmarkStart w:id="153" w:name="OLE_LINK25"/>
      <w:r>
        <w:rPr>
          <w:rFonts w:ascii="Times New Roman" w:hAnsi="Times New Roman" w:cs="Times New Roman" w:hint="eastAsia"/>
          <w:color w:val="auto"/>
          <w:highlight w:val="none"/>
          <w:lang w:val="en-US" w:eastAsia="zh-CN"/>
        </w:rPr>
        <w:t xml:space="preserve">等于</w:t>
      </w:r>
      <w:bookmarkEnd w:id="153"/>
      <w:r>
        <w:rPr>
          <w:rFonts w:ascii="Times New Roman" w:hAnsi="Times New Roman" w:cs="Times New Roman" w:hint="eastAsia"/>
          <w:color w:val="auto"/>
          <w:highlight w:val="none"/>
          <w:lang w:val="en-US" w:eastAsia="zh-CN"/>
        </w:rPr>
        <w:t xml:space="preserve">5期</w:t>
      </w:r>
      <w:r>
        <w:rPr>
          <w:rFonts w:ascii="Times New Roman" w:eastAsia="仿宋_GB2312" w:hAnsi="Times New Roman" w:cs="Times New Roman" w:hint="default"/>
          <w:color w:val="auto"/>
          <w:highlight w:val="none"/>
        </w:rPr>
        <w:t xml:space="preserve">，完成率：</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w:t>
      </w:r>
      <w:bookmarkEnd w:id="152"/>
    </w:p>
    <w:p>
      <w:pPr>
        <w:bidi w:val="0"/>
        <w:jc w:val="both"/>
        <w:rPr>
          <w:rFonts w:hint="default"/>
          <w:color w:val="auto"/>
          <w:highlight w:val="none"/>
        </w:rPr>
      </w:pPr>
      <w:r>
        <w:rPr>
          <w:rFonts w:ascii="Times New Roman" w:eastAsia="仿宋_GB2312" w:hAnsi="Times New Roman" w:cs="Times New Roman" w:hint="default"/>
          <w:b w:val="0"/>
          <w:bCs/>
          <w:color w:val="auto"/>
          <w:kern w:val="2"/>
          <w:sz w:val="32"/>
          <w:szCs w:val="32"/>
          <w:highlight w:val="none"/>
          <w:lang w:val="en-US" w:eastAsia="zh-CN" w:bidi="ar-SA"/>
        </w:rPr>
        <w:t xml:space="preserve">指标</w:t>
      </w:r>
      <w:r>
        <w:rPr>
          <w:rFonts w:ascii="Times New Roman" w:hAnsi="Times New Roman" w:cs="Times New Roman" w:hint="eastAsia"/>
          <w:b w:val="0"/>
          <w:bCs/>
          <w:color w:val="auto"/>
          <w:kern w:val="2"/>
          <w:sz w:val="32"/>
          <w:szCs w:val="32"/>
          <w:highlight w:val="none"/>
          <w:lang w:val="en-US" w:eastAsia="zh-CN" w:bidi="ar-SA"/>
        </w:rPr>
        <w:t xml:space="preserve">3</w:t>
      </w:r>
      <w:r>
        <w:rPr>
          <w:rFonts w:ascii="Times New Roman" w:eastAsia="仿宋_GB2312" w:hAnsi="Times New Roman" w:cs="Times New Roman" w:hint="default"/>
          <w:b w:val="0"/>
          <w:bCs/>
          <w:color w:val="auto"/>
          <w:kern w:val="2"/>
          <w:sz w:val="32"/>
          <w:szCs w:val="32"/>
          <w:highlight w:val="none"/>
          <w:lang w:val="en-US" w:eastAsia="zh-CN" w:bidi="ar-SA"/>
        </w:rPr>
        <w:t xml:space="preserve">：</w:t>
      </w:r>
      <w:r>
        <w:rPr>
          <w:rFonts w:ascii="Times New Roman" w:hAnsi="Times New Roman" w:cs="Times New Roman" w:hint="eastAsia"/>
          <w:color w:val="auto"/>
          <w:highlight w:val="none"/>
          <w:lang w:val="en-US" w:eastAsia="zh-CN"/>
        </w:rPr>
        <w:t xml:space="preserve">技能鉴定等级人次数</w:t>
      </w:r>
      <w:r>
        <w:rPr>
          <w:rFonts w:ascii="Times New Roman" w:eastAsia="仿宋_GB2312" w:hAnsi="Times New Roman" w:cs="Times New Roman" w:hint="default"/>
          <w:color w:val="auto"/>
          <w:highlight w:val="none"/>
        </w:rPr>
        <w:t xml:space="preserve">，预期指标值</w:t>
      </w:r>
      <w:r>
        <w:rPr>
          <w:rFonts w:ascii="Times New Roman" w:hAnsi="Times New Roman" w:cs="Times New Roman" w:hint="eastAsia"/>
          <w:color w:val="auto"/>
          <w:highlight w:val="none"/>
          <w:lang w:val="en-US" w:eastAsia="zh-CN"/>
        </w:rPr>
        <w:t xml:space="preserve">大于或等于2000人次</w:t>
      </w:r>
      <w:r>
        <w:rPr>
          <w:rFonts w:ascii="Times New Roman" w:eastAsia="仿宋_GB2312" w:hAnsi="Times New Roman" w:cs="Times New Roman" w:hint="default"/>
          <w:color w:val="auto"/>
          <w:highlight w:val="none"/>
        </w:rPr>
        <w:t xml:space="preserve">，指标完成值：</w:t>
      </w:r>
      <w:r>
        <w:rPr>
          <w:rFonts w:ascii="Times New Roman" w:hAnsi="Times New Roman" w:cs="Times New Roman" w:hint="eastAsia"/>
          <w:color w:val="auto"/>
          <w:highlight w:val="none"/>
          <w:lang w:val="en-US" w:eastAsia="zh-CN"/>
        </w:rPr>
        <w:t xml:space="preserve">等于2001人次</w:t>
      </w:r>
      <w:r>
        <w:rPr>
          <w:rFonts w:ascii="Times New Roman" w:eastAsia="仿宋_GB2312" w:hAnsi="Times New Roman" w:cs="Times New Roman" w:hint="default"/>
          <w:color w:val="auto"/>
          <w:highlight w:val="none"/>
        </w:rPr>
        <w:t xml:space="preserve">，完成率：</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w:t>
      </w:r>
      <w:r>
        <w:rPr>
          <w:rFonts w:ascii="Times New Roman" w:hAnsi="Times New Roman" w:cs="Times New Roman" w:hint="eastAsia"/>
          <w:color w:val="auto"/>
          <w:highlight w:val="none"/>
          <w:lang w:val="en-US" w:eastAsia="zh-CN"/>
        </w:rPr>
        <w:t xml:space="preserve">24</w:t>
      </w:r>
      <w:r>
        <w:rPr>
          <w:rFonts w:ascii="Times New Roman" w:eastAsia="仿宋_GB2312" w:hAnsi="Times New Roman" w:cs="Times New Roman" w:hint="default"/>
          <w:color w:val="auto"/>
          <w:highlight w:val="none"/>
        </w:rPr>
        <w:t xml:space="preserve">分，评估得分</w:t>
      </w:r>
      <w:r>
        <w:rPr>
          <w:rFonts w:ascii="Times New Roman" w:hAnsi="Times New Roman" w:cs="Times New Roman" w:hint="eastAsia"/>
          <w:color w:val="auto"/>
          <w:highlight w:val="none"/>
          <w:lang w:val="en-US" w:eastAsia="zh-CN"/>
        </w:rPr>
        <w:t xml:space="preserve">24</w:t>
      </w:r>
      <w:r>
        <w:rPr>
          <w:rFonts w:ascii="Times New Roman" w:eastAsia="仿宋_GB2312" w:hAnsi="Times New Roman" w:cs="Times New Roman" w:hint="default"/>
          <w:color w:val="auto"/>
          <w:highlight w:val="none"/>
        </w:rPr>
        <w:t xml:space="preserve">分。</w:t>
      </w:r>
    </w:p>
    <w:p>
      <w:pPr>
        <w:bidi w:val="0"/>
        <w:jc w:val="both"/>
        <w:rPr>
          <w:rFonts w:ascii="Times New Roman" w:eastAsia="仿宋_GB2312" w:hAnsi="Times New Roman" w:cs="Times New Roman" w:hint="default"/>
          <w:b/>
          <w:bCs/>
          <w:color w:val="auto"/>
          <w:highlight w:val="none"/>
        </w:rPr>
      </w:pPr>
      <w:bookmarkStart w:id="154" w:name="_Toc7420"/>
      <w:bookmarkStart w:id="155" w:name="_Toc21607"/>
      <w:r>
        <w:rPr>
          <w:rFonts w:ascii="Times New Roman" w:eastAsia="仿宋_GB2312" w:hAnsi="Times New Roman" w:cs="Times New Roman" w:hint="default"/>
          <w:b/>
          <w:bCs/>
          <w:color w:val="auto"/>
          <w:highlight w:val="none"/>
        </w:rPr>
        <w:t xml:space="preserve">2.产出质量</w:t>
      </w:r>
      <w:bookmarkEnd w:id="154"/>
      <w:bookmarkEnd w:id="155"/>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b w:val="0"/>
          <w:bCs/>
          <w:color w:val="auto"/>
          <w:kern w:val="2"/>
          <w:sz w:val="32"/>
          <w:szCs w:val="32"/>
          <w:highlight w:val="none"/>
          <w:lang w:val="en-US" w:eastAsia="zh-CN" w:bidi="ar-SA"/>
        </w:rPr>
        <w:t xml:space="preserve">指标1：</w:t>
      </w:r>
      <w:r>
        <w:rPr>
          <w:rFonts w:ascii="Times New Roman" w:hAnsi="Times New Roman" w:cs="Times New Roman" w:hint="eastAsia"/>
          <w:color w:val="auto"/>
          <w:highlight w:val="none"/>
          <w:lang w:val="en-US" w:eastAsia="zh-CN"/>
        </w:rPr>
        <w:t xml:space="preserve">学员培训合格率</w:t>
      </w:r>
      <w:r>
        <w:rPr>
          <w:rFonts w:ascii="Times New Roman" w:eastAsia="仿宋_GB2312" w:hAnsi="Times New Roman" w:cs="Times New Roman" w:hint="default"/>
          <w:color w:val="auto"/>
          <w:highlight w:val="none"/>
        </w:rPr>
        <w:t xml:space="preserve">，预期指标值</w:t>
      </w:r>
      <w:r>
        <w:rPr>
          <w:rFonts w:ascii="Times New Roman" w:hAnsi="Times New Roman" w:cs="Times New Roman" w:hint="eastAsia"/>
          <w:color w:val="auto"/>
          <w:highlight w:val="none"/>
          <w:lang w:val="en-US" w:eastAsia="zh-CN"/>
        </w:rPr>
        <w:t xml:space="preserve">大于或等于80%</w:t>
      </w:r>
      <w:r>
        <w:rPr>
          <w:rFonts w:ascii="Times New Roman" w:eastAsia="仿宋_GB2312" w:hAnsi="Times New Roman" w:cs="Times New Roman" w:hint="default"/>
          <w:color w:val="auto"/>
          <w:highlight w:val="none"/>
        </w:rPr>
        <w:t xml:space="preserve">，指标完成值：</w:t>
      </w:r>
      <w:r>
        <w:rPr>
          <w:rFonts w:ascii="Times New Roman" w:hAnsi="Times New Roman" w:cs="Times New Roman" w:hint="eastAsia"/>
          <w:color w:val="auto"/>
          <w:highlight w:val="none"/>
          <w:lang w:val="en-US" w:eastAsia="zh-CN"/>
        </w:rPr>
        <w:t xml:space="preserve">等于80%</w:t>
      </w:r>
      <w:r>
        <w:rPr>
          <w:rFonts w:ascii="Times New Roman" w:eastAsia="仿宋_GB2312" w:hAnsi="Times New Roman" w:cs="Times New Roman" w:hint="default"/>
          <w:color w:val="auto"/>
          <w:highlight w:val="none"/>
        </w:rPr>
        <w:t xml:space="preserve">，完成率：</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w:t>
      </w:r>
      <w:r>
        <w:rPr>
          <w:rFonts w:ascii="Times New Roman" w:hAnsi="Times New Roman" w:cs="Times New Roman" w:hint="eastAsia"/>
          <w:color w:val="auto"/>
          <w:highlight w:val="none"/>
          <w:lang w:val="en-US" w:eastAsia="zh-CN"/>
        </w:rPr>
        <w:t xml:space="preserve">8</w:t>
      </w:r>
      <w:r>
        <w:rPr>
          <w:rFonts w:ascii="Times New Roman" w:eastAsia="仿宋_GB2312" w:hAnsi="Times New Roman" w:cs="Times New Roman" w:hint="default"/>
          <w:color w:val="auto"/>
          <w:highlight w:val="none"/>
        </w:rPr>
        <w:t xml:space="preserve">分，评估得分</w:t>
      </w:r>
      <w:r>
        <w:rPr>
          <w:rFonts w:ascii="Times New Roman" w:hAnsi="Times New Roman" w:cs="Times New Roman" w:hint="eastAsia"/>
          <w:color w:val="auto"/>
          <w:highlight w:val="none"/>
          <w:lang w:val="en-US" w:eastAsia="zh-CN"/>
        </w:rPr>
        <w:t xml:space="preserve">8</w:t>
      </w:r>
      <w:r>
        <w:rPr>
          <w:rFonts w:ascii="Times New Roman" w:eastAsia="仿宋_GB2312" w:hAnsi="Times New Roman" w:cs="Times New Roman" w:hint="default"/>
          <w:color w:val="auto"/>
          <w:highlight w:val="none"/>
        </w:rPr>
        <w:t xml:space="preserve">分。</w:t>
      </w:r>
    </w:p>
    <w:p>
      <w:pPr>
        <w:bidi w:val="0"/>
        <w:jc w:val="both"/>
        <w:rPr>
          <w:rFonts w:ascii="Times New Roman" w:eastAsia="仿宋_GB2312" w:hAnsi="Times New Roman" w:cs="Times New Roman" w:hint="default"/>
          <w:b/>
          <w:bCs/>
          <w:color w:val="auto"/>
          <w:highlight w:val="none"/>
        </w:rPr>
      </w:pPr>
      <w:bookmarkStart w:id="156" w:name="_Toc6277"/>
      <w:bookmarkStart w:id="157" w:name="_Toc5394"/>
      <w:r>
        <w:rPr>
          <w:rFonts w:ascii="Times New Roman" w:eastAsia="仿宋_GB2312" w:hAnsi="Times New Roman" w:cs="Times New Roman" w:hint="default"/>
          <w:b/>
          <w:bCs/>
          <w:color w:val="auto"/>
          <w:highlight w:val="none"/>
        </w:rPr>
        <w:t xml:space="preserve">3.产出时效</w:t>
      </w:r>
      <w:bookmarkEnd w:id="156"/>
      <w:bookmarkEnd w:id="157"/>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b w:val="0"/>
          <w:bCs/>
          <w:color w:val="auto"/>
          <w:kern w:val="2"/>
          <w:sz w:val="32"/>
          <w:szCs w:val="32"/>
          <w:highlight w:val="none"/>
          <w:lang w:val="en-US" w:eastAsia="zh-CN" w:bidi="ar-SA"/>
        </w:rPr>
        <w:t xml:space="preserve">指标1：</w:t>
      </w:r>
      <w:r>
        <w:rPr>
          <w:rFonts w:ascii="Times New Roman" w:hAnsi="Times New Roman" w:cs="Times New Roman" w:hint="eastAsia"/>
          <w:color w:val="auto"/>
          <w:highlight w:val="none"/>
          <w:lang w:val="en-US" w:eastAsia="zh-CN"/>
        </w:rPr>
        <w:t xml:space="preserve">培训任务完成及时率</w:t>
      </w:r>
      <w:r>
        <w:rPr>
          <w:rFonts w:ascii="Times New Roman" w:eastAsia="仿宋_GB2312" w:hAnsi="Times New Roman" w:cs="Times New Roman" w:hint="default"/>
          <w:color w:val="auto"/>
          <w:highlight w:val="none"/>
        </w:rPr>
        <w:t xml:space="preserve">，预期指标值</w:t>
      </w:r>
      <w:r>
        <w:rPr>
          <w:rFonts w:ascii="Times New Roman" w:hAnsi="Times New Roman" w:cs="Times New Roman" w:hint="eastAsia"/>
          <w:color w:val="auto"/>
          <w:highlight w:val="none"/>
          <w:lang w:val="en-US" w:eastAsia="zh-CN"/>
        </w:rPr>
        <w:t xml:space="preserve">等于100%</w:t>
      </w:r>
      <w:r>
        <w:rPr>
          <w:rFonts w:ascii="Times New Roman" w:eastAsia="仿宋_GB2312" w:hAnsi="Times New Roman" w:cs="Times New Roman" w:hint="default"/>
          <w:color w:val="auto"/>
          <w:highlight w:val="none"/>
        </w:rPr>
        <w:t xml:space="preserve">，指标完成值：</w:t>
      </w:r>
      <w:r>
        <w:rPr>
          <w:rFonts w:ascii="Times New Roman" w:hAnsi="Times New Roman" w:cs="Times New Roman" w:hint="eastAsia"/>
          <w:color w:val="auto"/>
          <w:highlight w:val="none"/>
          <w:lang w:val="en-US" w:eastAsia="zh-CN"/>
        </w:rPr>
        <w:t xml:space="preserve">等于100%</w:t>
      </w:r>
      <w:r>
        <w:rPr>
          <w:rFonts w:ascii="Times New Roman" w:eastAsia="仿宋_GB2312" w:hAnsi="Times New Roman" w:cs="Times New Roman" w:hint="default"/>
          <w:color w:val="auto"/>
          <w:highlight w:val="none"/>
        </w:rPr>
        <w:t xml:space="preserve">，完成率：</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w:t>
      </w:r>
      <w:r>
        <w:rPr>
          <w:rFonts w:ascii="Times New Roman" w:hAnsi="Times New Roman" w:cs="Times New Roman" w:hint="eastAsia"/>
          <w:color w:val="auto"/>
          <w:highlight w:val="none"/>
          <w:lang w:val="en-US" w:eastAsia="zh-CN"/>
        </w:rPr>
        <w:t xml:space="preserve">8</w:t>
      </w:r>
      <w:r>
        <w:rPr>
          <w:rFonts w:ascii="Times New Roman" w:eastAsia="仿宋_GB2312" w:hAnsi="Times New Roman" w:cs="Times New Roman" w:hint="default"/>
          <w:color w:val="auto"/>
          <w:highlight w:val="none"/>
        </w:rPr>
        <w:t xml:space="preserve">分，评估得分</w:t>
      </w:r>
      <w:r>
        <w:rPr>
          <w:rFonts w:ascii="Times New Roman" w:hAnsi="Times New Roman" w:cs="Times New Roman" w:hint="eastAsia"/>
          <w:color w:val="auto"/>
          <w:highlight w:val="none"/>
          <w:lang w:val="en-US" w:eastAsia="zh-CN"/>
        </w:rPr>
        <w:t xml:space="preserve">8</w:t>
      </w:r>
      <w:r>
        <w:rPr>
          <w:rFonts w:ascii="Times New Roman" w:eastAsia="仿宋_GB2312" w:hAnsi="Times New Roman" w:cs="Times New Roman" w:hint="default"/>
          <w:color w:val="auto"/>
          <w:highlight w:val="none"/>
        </w:rPr>
        <w:t xml:space="preserve">分。</w:t>
      </w:r>
    </w:p>
    <w:p>
      <w:pPr>
        <w:bidi w:val="0"/>
        <w:jc w:val="both"/>
        <w:rPr>
          <w:rFonts w:ascii="Times New Roman" w:eastAsia="仿宋_GB2312" w:hAnsi="Times New Roman" w:cs="Times New Roman" w:hint="default"/>
          <w:b/>
          <w:bCs/>
          <w:color w:val="auto"/>
          <w:highlight w:val="none"/>
        </w:rPr>
      </w:pPr>
      <w:bookmarkStart w:id="158" w:name="_Toc28975"/>
      <w:bookmarkStart w:id="159" w:name="_Toc18558"/>
      <w:r>
        <w:rPr>
          <w:rFonts w:ascii="Times New Roman" w:eastAsia="仿宋_GB2312" w:hAnsi="Times New Roman" w:cs="Times New Roman" w:hint="default"/>
          <w:b/>
          <w:bCs/>
          <w:color w:val="auto"/>
          <w:highlight w:val="none"/>
        </w:rPr>
        <w:t xml:space="preserve">4.产出成本</w:t>
      </w:r>
      <w:bookmarkEnd w:id="158"/>
      <w:bookmarkEnd w:id="159"/>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b w:val="0"/>
          <w:bCs/>
          <w:color w:val="auto"/>
          <w:kern w:val="2"/>
          <w:sz w:val="32"/>
          <w:szCs w:val="32"/>
          <w:highlight w:val="none"/>
          <w:lang w:val="en-US" w:eastAsia="zh-CN" w:bidi="ar-SA"/>
        </w:rPr>
        <w:t xml:space="preserve">指标1：</w:t>
      </w:r>
      <w:r>
        <w:rPr>
          <w:rFonts w:ascii="Times New Roman" w:hAnsi="Times New Roman" w:cs="Times New Roman" w:hint="eastAsia"/>
          <w:color w:val="auto"/>
          <w:highlight w:val="none"/>
          <w:lang w:val="en-US" w:eastAsia="zh-CN"/>
        </w:rPr>
        <w:t xml:space="preserve">外聘教师工资成本</w:t>
      </w:r>
      <w:r>
        <w:rPr>
          <w:rFonts w:ascii="Times New Roman" w:eastAsia="仿宋_GB2312" w:hAnsi="Times New Roman" w:cs="Times New Roman" w:hint="default"/>
          <w:color w:val="auto"/>
          <w:highlight w:val="none"/>
        </w:rPr>
        <w:t xml:space="preserve">，预期指标值</w:t>
      </w:r>
      <w:bookmarkStart w:id="160" w:name="OLE_LINK15"/>
      <w:r>
        <w:rPr>
          <w:rFonts w:ascii="Times New Roman" w:hAnsi="Times New Roman" w:cs="Times New Roman" w:hint="eastAsia"/>
          <w:color w:val="auto"/>
          <w:highlight w:val="none"/>
          <w:lang w:val="en-US" w:eastAsia="zh-CN"/>
        </w:rPr>
        <w:t xml:space="preserve">小于或等于94.38万元</w:t>
      </w:r>
      <w:bookmarkEnd w:id="160"/>
      <w:r>
        <w:rPr>
          <w:rFonts w:ascii="Times New Roman" w:eastAsia="仿宋_GB2312" w:hAnsi="Times New Roman" w:cs="Times New Roman" w:hint="default"/>
          <w:color w:val="auto"/>
          <w:highlight w:val="none"/>
        </w:rPr>
        <w:t xml:space="preserve">，指标完成值：</w:t>
      </w:r>
      <w:r>
        <w:rPr>
          <w:rFonts w:ascii="Times New Roman" w:hAnsi="Times New Roman" w:cs="Times New Roman" w:hint="eastAsia"/>
          <w:color w:val="auto"/>
          <w:highlight w:val="none"/>
          <w:lang w:val="en-US" w:eastAsia="zh-CN"/>
        </w:rPr>
        <w:t xml:space="preserve">等于94.38万元</w:t>
      </w:r>
      <w:r>
        <w:rPr>
          <w:rFonts w:ascii="Times New Roman" w:eastAsia="仿宋_GB2312" w:hAnsi="Times New Roman" w:cs="Times New Roman" w:hint="default"/>
          <w:color w:val="auto"/>
          <w:highlight w:val="none"/>
        </w:rPr>
        <w:t xml:space="preserve">，完成率：</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b w:val="0"/>
          <w:bCs/>
          <w:color w:val="auto"/>
          <w:kern w:val="2"/>
          <w:sz w:val="32"/>
          <w:szCs w:val="32"/>
          <w:highlight w:val="none"/>
          <w:lang w:val="en-US" w:eastAsia="zh-CN" w:bidi="ar-SA"/>
        </w:rPr>
        <w:t xml:space="preserve">指标</w:t>
      </w:r>
      <w:r>
        <w:rPr>
          <w:rFonts w:ascii="Times New Roman" w:hAnsi="Times New Roman" w:cs="Times New Roman" w:hint="eastAsia"/>
          <w:b w:val="0"/>
          <w:bCs/>
          <w:color w:val="auto"/>
          <w:kern w:val="2"/>
          <w:sz w:val="32"/>
          <w:szCs w:val="32"/>
          <w:highlight w:val="none"/>
          <w:lang w:val="en-US" w:eastAsia="zh-CN" w:bidi="ar-SA"/>
        </w:rPr>
        <w:t xml:space="preserve">2</w:t>
      </w:r>
      <w:r>
        <w:rPr>
          <w:rFonts w:ascii="Times New Roman" w:eastAsia="仿宋_GB2312" w:hAnsi="Times New Roman" w:cs="Times New Roman" w:hint="default"/>
          <w:b w:val="0"/>
          <w:bCs/>
          <w:color w:val="auto"/>
          <w:kern w:val="2"/>
          <w:sz w:val="32"/>
          <w:szCs w:val="32"/>
          <w:highlight w:val="none"/>
          <w:lang w:val="en-US" w:eastAsia="zh-CN" w:bidi="ar-SA"/>
        </w:rPr>
        <w:t xml:space="preserve">：</w:t>
      </w:r>
      <w:r>
        <w:rPr>
          <w:rFonts w:ascii="Times New Roman" w:hAnsi="Times New Roman" w:cs="Times New Roman" w:hint="eastAsia"/>
          <w:color w:val="auto"/>
          <w:highlight w:val="none"/>
          <w:lang w:val="en-US" w:eastAsia="zh-CN"/>
        </w:rPr>
        <w:t xml:space="preserve">培训费用成本</w:t>
      </w:r>
      <w:r>
        <w:rPr>
          <w:rFonts w:ascii="Times New Roman" w:eastAsia="仿宋_GB2312" w:hAnsi="Times New Roman" w:cs="Times New Roman" w:hint="default"/>
          <w:color w:val="auto"/>
          <w:highlight w:val="none"/>
        </w:rPr>
        <w:t xml:space="preserve">，预期指标值</w:t>
      </w:r>
      <w:bookmarkStart w:id="161" w:name="OLE_LINK16"/>
      <w:r>
        <w:rPr>
          <w:rFonts w:ascii="Times New Roman" w:hAnsi="Times New Roman" w:cs="Times New Roman" w:hint="eastAsia"/>
          <w:color w:val="auto"/>
          <w:highlight w:val="none"/>
          <w:lang w:val="en-US" w:eastAsia="zh-CN"/>
        </w:rPr>
        <w:t xml:space="preserve">小于或等于134.67万元</w:t>
      </w:r>
      <w:bookmarkEnd w:id="161"/>
      <w:r>
        <w:rPr>
          <w:rFonts w:ascii="Times New Roman" w:eastAsia="仿宋_GB2312" w:hAnsi="Times New Roman" w:cs="Times New Roman" w:hint="default"/>
          <w:color w:val="auto"/>
          <w:highlight w:val="none"/>
        </w:rPr>
        <w:t xml:space="preserve">，指标完成值：</w:t>
      </w:r>
      <w:r>
        <w:rPr>
          <w:rFonts w:ascii="Times New Roman" w:hAnsi="Times New Roman" w:cs="Times New Roman" w:hint="eastAsia"/>
          <w:color w:val="auto"/>
          <w:highlight w:val="none"/>
          <w:lang w:val="en-US" w:eastAsia="zh-CN"/>
        </w:rPr>
        <w:t xml:space="preserve">等于134.67万元</w:t>
      </w:r>
      <w:r>
        <w:rPr>
          <w:rFonts w:ascii="Times New Roman" w:eastAsia="仿宋_GB2312" w:hAnsi="Times New Roman" w:cs="Times New Roman" w:hint="default"/>
          <w:color w:val="auto"/>
          <w:highlight w:val="none"/>
        </w:rPr>
        <w:t xml:space="preserve">，完成率：</w:t>
      </w:r>
      <w:bookmarkStart w:id="162" w:name="OLE_LINK17"/>
      <w:r>
        <w:rPr>
          <w:rFonts w:ascii="Times New Roman" w:hAnsi="Times New Roman" w:cs="Times New Roman" w:hint="eastAsia"/>
          <w:color w:val="auto"/>
          <w:highlight w:val="none"/>
          <w:lang w:val="en-US" w:eastAsia="zh-CN"/>
        </w:rPr>
        <w:t xml:space="preserve">100</w:t>
      </w:r>
      <w:bookmarkEnd w:id="162"/>
      <w:r>
        <w:rPr>
          <w:rFonts w:ascii="Times New Roman" w:hAnsi="Times New Roman" w:cs="Times New Roman" w:hint="eastAsia"/>
          <w:color w:val="auto"/>
          <w:highlight w:val="none"/>
          <w:lang w:val="en-US" w:eastAsia="zh-CN"/>
        </w:rPr>
        <w:t xml:space="preserve">%</w:t>
      </w:r>
      <w:r>
        <w:rPr>
          <w:rFonts w:ascii="Times New Roman" w:eastAsia="仿宋_GB2312" w:hAnsi="Times New Roman" w:cs="Times New Roman" w:hint="default"/>
          <w:color w:val="auto"/>
          <w:highlight w:val="none"/>
        </w:rPr>
        <w:t xml:space="preserve">；</w:t>
      </w:r>
    </w:p>
    <w:p>
      <w:pPr>
        <w:bidi w:val="0"/>
        <w:jc w:val="both"/>
        <w:rPr>
          <w:rFonts w:hint="default"/>
          <w:color w:val="auto"/>
          <w:highlight w:val="none"/>
        </w:rPr>
      </w:pPr>
      <w:r>
        <w:rPr>
          <w:rFonts w:ascii="Times New Roman" w:eastAsia="仿宋_GB2312" w:hAnsi="Times New Roman" w:cs="Times New Roman" w:hint="default"/>
          <w:b w:val="0"/>
          <w:bCs/>
          <w:color w:val="auto"/>
          <w:kern w:val="2"/>
          <w:sz w:val="32"/>
          <w:szCs w:val="32"/>
          <w:highlight w:val="none"/>
          <w:lang w:val="en-US" w:eastAsia="zh-CN" w:bidi="ar-SA"/>
        </w:rPr>
        <w:t xml:space="preserve">指标</w:t>
      </w:r>
      <w:r>
        <w:rPr>
          <w:rFonts w:ascii="Times New Roman" w:hAnsi="Times New Roman" w:cs="Times New Roman" w:hint="eastAsia"/>
          <w:b w:val="0"/>
          <w:bCs/>
          <w:color w:val="auto"/>
          <w:kern w:val="2"/>
          <w:sz w:val="32"/>
          <w:szCs w:val="32"/>
          <w:highlight w:val="none"/>
          <w:lang w:val="en-US" w:eastAsia="zh-CN" w:bidi="ar-SA"/>
        </w:rPr>
        <w:t xml:space="preserve">3</w:t>
      </w:r>
      <w:r>
        <w:rPr>
          <w:rFonts w:ascii="Times New Roman" w:eastAsia="仿宋_GB2312" w:hAnsi="Times New Roman" w:cs="Times New Roman" w:hint="default"/>
          <w:b w:val="0"/>
          <w:bCs/>
          <w:color w:val="auto"/>
          <w:kern w:val="2"/>
          <w:sz w:val="32"/>
          <w:szCs w:val="32"/>
          <w:highlight w:val="none"/>
          <w:lang w:val="en-US" w:eastAsia="zh-CN" w:bidi="ar-SA"/>
        </w:rPr>
        <w:t xml:space="preserve">：</w:t>
      </w:r>
      <w:r>
        <w:rPr>
          <w:rFonts w:ascii="Times New Roman" w:hAnsi="Times New Roman" w:cs="Times New Roman" w:hint="eastAsia"/>
          <w:color w:val="auto"/>
          <w:highlight w:val="none"/>
          <w:lang w:val="en-US" w:eastAsia="zh-CN"/>
        </w:rPr>
        <w:t xml:space="preserve">水电、维修维护等成本</w:t>
      </w:r>
      <w:r>
        <w:rPr>
          <w:rFonts w:ascii="Times New Roman" w:eastAsia="仿宋_GB2312" w:hAnsi="Times New Roman" w:cs="Times New Roman" w:hint="default"/>
          <w:color w:val="auto"/>
          <w:highlight w:val="none"/>
        </w:rPr>
        <w:t xml:space="preserve">，预期指标值</w:t>
      </w:r>
      <w:r>
        <w:rPr>
          <w:rFonts w:ascii="Times New Roman" w:hAnsi="Times New Roman" w:cs="Times New Roman" w:hint="eastAsia"/>
          <w:color w:val="auto"/>
          <w:highlight w:val="none"/>
          <w:lang w:val="en-US" w:eastAsia="zh-CN"/>
        </w:rPr>
        <w:t xml:space="preserve">小于或等于60.16万元</w:t>
      </w:r>
      <w:r>
        <w:rPr>
          <w:rFonts w:ascii="Times New Roman" w:eastAsia="仿宋_GB2312" w:hAnsi="Times New Roman" w:cs="Times New Roman" w:hint="default"/>
          <w:color w:val="auto"/>
          <w:highlight w:val="none"/>
        </w:rPr>
        <w:t xml:space="preserve">，指标完成值：</w:t>
      </w:r>
      <w:r>
        <w:rPr>
          <w:rFonts w:ascii="Times New Roman" w:hAnsi="Times New Roman" w:cs="Times New Roman" w:hint="eastAsia"/>
          <w:color w:val="auto"/>
          <w:highlight w:val="none"/>
          <w:lang w:val="en-US" w:eastAsia="zh-CN"/>
        </w:rPr>
        <w:t xml:space="preserve">等于60.16万元</w:t>
      </w:r>
      <w:r>
        <w:rPr>
          <w:rFonts w:ascii="Times New Roman" w:eastAsia="仿宋_GB2312" w:hAnsi="Times New Roman" w:cs="Times New Roman" w:hint="default"/>
          <w:color w:val="auto"/>
          <w:highlight w:val="none"/>
        </w:rPr>
        <w:t xml:space="preserve">，完成率：</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w:t>
      </w:r>
      <w:r>
        <w:rPr>
          <w:rFonts w:ascii="Times New Roman" w:hAnsi="Times New Roman" w:cs="Times New Roman" w:hint="eastAsia"/>
          <w:color w:val="auto"/>
          <w:highlight w:val="none"/>
          <w:lang w:val="en-US" w:eastAsia="zh-CN"/>
        </w:rPr>
        <w:t xml:space="preserve">20</w:t>
      </w:r>
      <w:r>
        <w:rPr>
          <w:rFonts w:ascii="Times New Roman" w:eastAsia="仿宋_GB2312" w:hAnsi="Times New Roman" w:cs="Times New Roman" w:hint="default"/>
          <w:color w:val="auto"/>
          <w:highlight w:val="none"/>
        </w:rPr>
        <w:t xml:space="preserve">分，评估得分</w:t>
      </w:r>
      <w:r>
        <w:rPr>
          <w:rFonts w:ascii="Times New Roman" w:hAnsi="Times New Roman" w:cs="Times New Roman" w:hint="eastAsia"/>
          <w:color w:val="auto"/>
          <w:highlight w:val="none"/>
          <w:lang w:val="en-US" w:eastAsia="zh-CN"/>
        </w:rPr>
        <w:t xml:space="preserve">20</w:t>
      </w:r>
      <w:r>
        <w:rPr>
          <w:rFonts w:ascii="Times New Roman" w:eastAsia="仿宋_GB2312" w:hAnsi="Times New Roman" w:cs="Times New Roman" w:hint="default"/>
          <w:color w:val="auto"/>
          <w:highlight w:val="none"/>
        </w:rPr>
        <w:t xml:space="preserve">分。</w:t>
      </w:r>
    </w:p>
    <w:p>
      <w:pPr>
        <w:pStyle w:val="Heading3"/>
        <w:bidi w:val="0"/>
        <w:jc w:val="both"/>
        <w:outlineLvl w:val="1"/>
        <w:rPr>
          <w:rFonts w:ascii="楷体" w:eastAsia="楷体" w:hAnsi="楷体" w:cs="楷体" w:hint="eastAsia"/>
          <w:color w:val="auto"/>
          <w:highlight w:val="none"/>
        </w:rPr>
      </w:pPr>
      <w:bookmarkStart w:id="163" w:name="_Toc27619"/>
      <w:bookmarkStart w:id="164" w:name="_Toc18194"/>
      <w:bookmarkStart w:id="165" w:name="_Toc14881"/>
      <w:bookmarkStart w:id="166" w:name="_Toc27548"/>
      <w:bookmarkStart w:id="167" w:name="_Toc24492"/>
      <w:r>
        <w:rPr>
          <w:rFonts w:ascii="楷体" w:eastAsia="楷体" w:hAnsi="楷体" w:cs="楷体" w:hint="eastAsia"/>
          <w:color w:val="auto"/>
          <w:highlight w:val="none"/>
        </w:rPr>
        <w:t xml:space="preserve">（四）项目效益情况</w:t>
      </w:r>
      <w:bookmarkEnd w:id="163"/>
      <w:bookmarkEnd w:id="164"/>
      <w:bookmarkEnd w:id="165"/>
      <w:bookmarkEnd w:id="166"/>
      <w:bookmarkEnd w:id="167"/>
    </w:p>
    <w:p>
      <w:pPr>
        <w:bidi w:val="0"/>
        <w:jc w:val="both"/>
        <w:rPr>
          <w:rFonts w:ascii="Times New Roman" w:eastAsia="仿宋_GB2312" w:hAnsi="Times New Roman" w:cs="Times New Roman" w:hint="default"/>
          <w:b/>
          <w:bCs/>
          <w:color w:val="auto"/>
          <w:highlight w:val="none"/>
        </w:rPr>
      </w:pPr>
      <w:bookmarkStart w:id="168" w:name="_Toc8370"/>
      <w:bookmarkStart w:id="169" w:name="_Toc15599"/>
      <w:r>
        <w:rPr>
          <w:rFonts w:ascii="Times New Roman" w:eastAsia="仿宋_GB2312" w:hAnsi="Times New Roman" w:cs="Times New Roman" w:hint="default"/>
          <w:b/>
          <w:bCs/>
          <w:color w:val="auto"/>
          <w:highlight w:val="none"/>
        </w:rPr>
        <w:t xml:space="preserve">1.实施效益</w:t>
      </w:r>
      <w:bookmarkEnd w:id="168"/>
      <w:bookmarkEnd w:id="169"/>
    </w:p>
    <w:p>
      <w:pPr>
        <w:bidi w:val="0"/>
        <w:rPr>
          <w:rFonts w:ascii="Times New Roman" w:eastAsia="仿宋_GB2312" w:hAnsi="Times New Roman" w:cs="Times New Roman" w:hint="default"/>
          <w:color w:val="auto"/>
          <w:highlight w:val="none"/>
          <w:lang w:val="en-US" w:eastAsia="zh-CN"/>
        </w:rPr>
      </w:pPr>
      <w:r>
        <w:rPr>
          <w:rFonts w:ascii="Times New Roman" w:eastAsia="仿宋_GB2312" w:hAnsi="Times New Roman" w:cs="Times New Roman" w:hint="default"/>
          <w:color w:val="auto"/>
          <w:highlight w:val="none"/>
          <w:lang w:val="en-US" w:eastAsia="zh-CN"/>
        </w:rPr>
        <w:t xml:space="preserve">社会效益指标：提升职业技术教育水平</w:t>
      </w:r>
      <w:r>
        <w:rPr>
          <w:rFonts w:cs="Times New Roman" w:hint="eastAsia"/>
          <w:color w:val="auto"/>
          <w:highlight w:val="none"/>
          <w:lang w:val="en-US" w:eastAsia="zh-CN"/>
        </w:rPr>
        <w:t xml:space="preserve">，指标值：有效提升；实际完成情况：达成目标，完成率100%。</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w:t>
      </w:r>
      <w:r>
        <w:rPr>
          <w:rFonts w:ascii="Times New Roman" w:hAnsi="Times New Roman" w:cs="Times New Roman" w:hint="eastAsia"/>
          <w:color w:val="auto"/>
          <w:highlight w:val="none"/>
          <w:lang w:val="en-US" w:eastAsia="zh-CN"/>
        </w:rPr>
        <w:t xml:space="preserve">20</w:t>
      </w:r>
      <w:r>
        <w:rPr>
          <w:rFonts w:ascii="Times New Roman" w:eastAsia="仿宋_GB2312" w:hAnsi="Times New Roman" w:cs="Times New Roman" w:hint="default"/>
          <w:color w:val="auto"/>
          <w:highlight w:val="none"/>
        </w:rPr>
        <w:t xml:space="preserve">分，评估得分</w:t>
      </w:r>
      <w:r>
        <w:rPr>
          <w:rFonts w:ascii="Times New Roman" w:hAnsi="Times New Roman" w:cs="Times New Roman" w:hint="eastAsia"/>
          <w:color w:val="auto"/>
          <w:highlight w:val="none"/>
          <w:lang w:val="en-US" w:eastAsia="zh-CN"/>
        </w:rPr>
        <w:t xml:space="preserve">2</w:t>
      </w:r>
      <w:r>
        <w:rPr>
          <w:rFonts w:ascii="Times New Roman" w:eastAsia="仿宋_GB2312" w:hAnsi="Times New Roman" w:cs="Times New Roman" w:hint="default"/>
          <w:color w:val="auto"/>
          <w:highlight w:val="none"/>
        </w:rPr>
        <w:t xml:space="preserve">0分。</w:t>
      </w:r>
    </w:p>
    <w:p>
      <w:pPr>
        <w:bidi w:val="0"/>
        <w:jc w:val="both"/>
        <w:rPr>
          <w:rFonts w:ascii="Times New Roman" w:eastAsia="仿宋_GB2312" w:hAnsi="Times New Roman" w:cs="Times New Roman" w:hint="default"/>
          <w:b/>
          <w:bCs/>
          <w:color w:val="auto"/>
          <w:highlight w:val="none"/>
        </w:rPr>
      </w:pPr>
      <w:bookmarkStart w:id="170" w:name="_Toc20772"/>
      <w:bookmarkStart w:id="171" w:name="_Toc31503"/>
      <w:r>
        <w:rPr>
          <w:rFonts w:ascii="Times New Roman" w:eastAsia="仿宋_GB2312" w:hAnsi="Times New Roman" w:cs="Times New Roman" w:hint="default"/>
          <w:b/>
          <w:bCs/>
          <w:color w:val="auto"/>
          <w:highlight w:val="none"/>
        </w:rPr>
        <w:t xml:space="preserve">2.满意度</w:t>
      </w:r>
      <w:bookmarkEnd w:id="170"/>
      <w:bookmarkEnd w:id="171"/>
    </w:p>
    <w:p>
      <w:pPr>
        <w:bidi w:val="0"/>
        <w:jc w:val="both"/>
        <w:rPr>
          <w:rFonts w:ascii="Times New Roman" w:eastAsia="仿宋_GB2312" w:hAnsi="Times New Roman" w:cs="Times New Roman" w:hint="default"/>
          <w:color w:val="auto"/>
          <w:highlight w:val="none"/>
          <w:lang w:val="en-US" w:eastAsia="zh-CN"/>
        </w:rPr>
      </w:pPr>
      <w:r>
        <w:rPr>
          <w:rFonts w:ascii="Times New Roman" w:hAnsi="Times New Roman" w:cs="Times New Roman" w:hint="eastAsia"/>
          <w:color w:val="auto"/>
          <w:highlight w:val="none"/>
          <w:lang w:eastAsia="zh-CN"/>
        </w:rPr>
        <w:t xml:space="preserve">2024年教育及培训经费（自有资金）</w:t>
      </w:r>
      <w:r>
        <w:rPr>
          <w:rFonts w:ascii="Times New Roman" w:eastAsia="仿宋_GB2312" w:hAnsi="Times New Roman" w:cs="Times New Roman" w:hint="default"/>
          <w:color w:val="auto"/>
          <w:highlight w:val="none"/>
        </w:rPr>
        <w:t xml:space="preserve">服务对象和受益群众主要是</w:t>
      </w:r>
      <w:r>
        <w:rPr>
          <w:rFonts w:ascii="Times New Roman" w:hAnsi="Times New Roman" w:cs="Times New Roman" w:hint="eastAsia"/>
          <w:color w:val="auto"/>
          <w:highlight w:val="none"/>
          <w:lang w:val="en-US" w:eastAsia="zh-CN"/>
        </w:rPr>
        <w:t xml:space="preserve">学员，</w:t>
      </w:r>
      <w:r>
        <w:rPr>
          <w:rFonts w:ascii="Times New Roman" w:eastAsia="仿宋_GB2312" w:hAnsi="Times New Roman" w:cs="Times New Roman" w:hint="default"/>
          <w:color w:val="auto"/>
          <w:highlight w:val="none"/>
        </w:rPr>
        <w:t xml:space="preserve">通过问卷调查方式收集服务对象和受益群众对本项目实施的满意度。</w:t>
      </w:r>
      <w:r>
        <w:rPr>
          <w:rFonts w:ascii="Times New Roman" w:hAnsi="Times New Roman" w:cs="Times New Roman" w:hint="eastAsia"/>
          <w:color w:val="auto"/>
          <w:highlight w:val="none"/>
          <w:lang w:val="en-US" w:eastAsia="zh-CN"/>
        </w:rPr>
        <w:t xml:space="preserve">培训学员</w:t>
      </w:r>
      <w:r>
        <w:rPr>
          <w:rFonts w:ascii="Times New Roman" w:eastAsia="仿宋_GB2312" w:hAnsi="Times New Roman" w:cs="Times New Roman" w:hint="default"/>
          <w:color w:val="auto"/>
          <w:highlight w:val="none"/>
        </w:rPr>
        <w:t xml:space="preserve">都表示很满意，都认为本项目实施后，</w:t>
      </w:r>
      <w:r>
        <w:rPr>
          <w:rFonts w:ascii="Times New Roman" w:hAnsi="Times New Roman" w:cs="Times New Roman" w:hint="eastAsia"/>
          <w:color w:val="auto"/>
          <w:highlight w:val="none"/>
          <w:lang w:val="en-US" w:eastAsia="zh-CN"/>
        </w:rPr>
        <w:t xml:space="preserve">提高了学员满意度；提升职业技术教育水平。</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本项满分10分，评估得分10分。</w:t>
      </w:r>
    </w:p>
    <w:p>
      <w:pPr>
        <w:pStyle w:val="Heading2"/>
        <w:bidi w:val="0"/>
        <w:jc w:val="both"/>
        <w:outlineLvl w:val="0"/>
        <w:rPr>
          <w:rFonts w:ascii="Times New Roman" w:eastAsia="仿宋_GB2312" w:hAnsi="Times New Roman" w:cs="Times New Roman" w:hint="default"/>
          <w:color w:val="auto"/>
          <w:highlight w:val="none"/>
        </w:rPr>
      </w:pPr>
      <w:bookmarkStart w:id="172" w:name="_Toc3310"/>
      <w:bookmarkStart w:id="173" w:name="_Toc24261"/>
      <w:bookmarkStart w:id="174" w:name="_Toc23114"/>
      <w:bookmarkStart w:id="175" w:name="_Toc24305"/>
      <w:bookmarkStart w:id="176" w:name="_Toc20473"/>
      <w:bookmarkStart w:id="177" w:name="_Toc17413"/>
      <w:r>
        <w:rPr>
          <w:rFonts w:ascii="黑体" w:eastAsia="黑体" w:hAnsi="黑体" w:cs="黑体" w:hint="eastAsia"/>
          <w:color w:val="auto"/>
          <w:highlight w:val="none"/>
        </w:rPr>
        <w:t xml:space="preserve">五、主要经验及做法、存在的问题及原因分析</w:t>
      </w:r>
      <w:bookmarkEnd w:id="172"/>
      <w:bookmarkEnd w:id="173"/>
      <w:bookmarkEnd w:id="174"/>
      <w:bookmarkEnd w:id="175"/>
      <w:bookmarkEnd w:id="176"/>
      <w:bookmarkEnd w:id="177"/>
    </w:p>
    <w:p>
      <w:pPr>
        <w:pStyle w:val="Heading3"/>
        <w:bidi w:val="0"/>
        <w:jc w:val="both"/>
        <w:outlineLvl w:val="1"/>
        <w:rPr>
          <w:rFonts w:ascii="楷体" w:eastAsia="楷体" w:hAnsi="楷体" w:cs="楷体" w:hint="eastAsia"/>
          <w:color w:val="auto"/>
          <w:highlight w:val="none"/>
        </w:rPr>
      </w:pPr>
      <w:bookmarkStart w:id="178" w:name="_Toc6522"/>
      <w:bookmarkStart w:id="179" w:name="_Toc6741"/>
      <w:bookmarkStart w:id="180" w:name="_Toc14362"/>
      <w:bookmarkStart w:id="181" w:name="_Toc5192"/>
      <w:bookmarkStart w:id="182" w:name="_Toc10514"/>
      <w:r>
        <w:rPr>
          <w:rFonts w:ascii="楷体" w:eastAsia="楷体" w:hAnsi="楷体" w:cs="楷体" w:hint="eastAsia"/>
          <w:color w:val="auto"/>
          <w:highlight w:val="none"/>
        </w:rPr>
        <w:t xml:space="preserve">（一）主要经验及做法</w:t>
      </w:r>
      <w:bookmarkEnd w:id="178"/>
      <w:bookmarkEnd w:id="179"/>
      <w:bookmarkEnd w:id="180"/>
      <w:bookmarkEnd w:id="181"/>
      <w:bookmarkEnd w:id="182"/>
    </w:p>
    <w:p>
      <w:pPr>
        <w:bidi w:val="0"/>
        <w:jc w:val="both"/>
        <w:rPr>
          <w:rFonts w:ascii="Times New Roman" w:eastAsia="仿宋_GB2312" w:hAnsi="Times New Roman" w:cs="Times New Roman" w:hint="default"/>
          <w:color w:val="auto"/>
          <w:highlight w:val="none"/>
        </w:rPr>
      </w:pPr>
      <w:r>
        <w:rPr>
          <w:rFonts w:ascii="Times New Roman" w:hAnsi="Times New Roman" w:cs="Times New Roman" w:hint="eastAsia"/>
          <w:color w:val="auto"/>
          <w:highlight w:val="none"/>
          <w:lang w:val="en-US" w:eastAsia="zh-CN"/>
        </w:rPr>
        <w:t xml:space="preserve">尉犁县技工学校</w:t>
      </w:r>
      <w:r>
        <w:rPr>
          <w:rFonts w:ascii="Times New Roman" w:eastAsia="仿宋_GB2312" w:hAnsi="Times New Roman" w:cs="Times New Roman" w:hint="default"/>
          <w:color w:val="auto"/>
          <w:highlight w:val="none"/>
        </w:rPr>
        <w:t xml:space="preserve">在</w:t>
      </w:r>
      <w:r>
        <w:rPr>
          <w:rFonts w:ascii="Times New Roman" w:hAnsi="Times New Roman" w:cs="Times New Roman" w:hint="eastAsia"/>
          <w:color w:val="auto"/>
          <w:highlight w:val="none"/>
          <w:lang w:val="en-US" w:eastAsia="zh-CN"/>
        </w:rPr>
        <w:t xml:space="preserve">尉犁</w:t>
      </w:r>
      <w:r>
        <w:rPr>
          <w:rFonts w:ascii="Times New Roman" w:eastAsia="仿宋_GB2312" w:hAnsi="Times New Roman" w:cs="Times New Roman" w:hint="default"/>
          <w:color w:val="auto"/>
          <w:highlight w:val="none"/>
          <w:lang w:eastAsia="zh-CN"/>
        </w:rPr>
        <w:t xml:space="preserve">县委、县政府</w:t>
      </w:r>
      <w:r>
        <w:rPr>
          <w:rFonts w:ascii="Times New Roman" w:eastAsia="仿宋_GB2312" w:hAnsi="Times New Roman" w:cs="Times New Roman" w:hint="default"/>
          <w:color w:val="auto"/>
          <w:highlight w:val="none"/>
        </w:rPr>
        <w:t xml:space="preserve">的支持下，在相关部门的配合下，全面顺利完成，绩效评价“优”，主要经验及做法如下：</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1.加强领导，落实责任。</w:t>
      </w:r>
      <w:r>
        <w:rPr>
          <w:rFonts w:ascii="Times New Roman" w:hAnsi="Times New Roman" w:cs="Times New Roman" w:hint="eastAsia"/>
          <w:color w:val="auto"/>
          <w:highlight w:val="none"/>
          <w:lang w:val="en-US" w:eastAsia="zh-CN"/>
        </w:rPr>
        <w:t xml:space="preserve">尉犁县技工学校</w:t>
      </w:r>
      <w:r>
        <w:rPr>
          <w:rFonts w:ascii="Times New Roman" w:eastAsia="仿宋_GB2312" w:hAnsi="Times New Roman" w:cs="Times New Roman" w:hint="default"/>
          <w:color w:val="auto"/>
          <w:highlight w:val="none"/>
        </w:rPr>
        <w:t xml:space="preserve">成立了</w:t>
      </w:r>
      <w:r>
        <w:rPr>
          <w:rFonts w:ascii="Times New Roman" w:hAnsi="Times New Roman" w:cs="Times New Roman" w:hint="eastAsia"/>
          <w:color w:val="auto"/>
          <w:highlight w:val="none"/>
          <w:lang w:val="en-US" w:eastAsia="zh-CN"/>
        </w:rPr>
        <w:t xml:space="preserve">尉犁县技工学校</w:t>
      </w:r>
      <w:r>
        <w:rPr>
          <w:rFonts w:ascii="Times New Roman" w:eastAsia="仿宋_GB2312" w:hAnsi="Times New Roman" w:cs="Times New Roman" w:hint="default"/>
          <w:color w:val="auto"/>
          <w:highlight w:val="none"/>
        </w:rPr>
        <w:t xml:space="preserve">领导小组，明确了各部门工作职责，从项目各方面加强统筹协调，共同推进项</w:t>
      </w:r>
      <w:r>
        <w:rPr>
          <w:rFonts w:ascii="Times New Roman" w:eastAsia="仿宋_GB2312" w:hAnsi="Times New Roman" w:cs="Times New Roman" w:hint="default"/>
          <w:color w:val="auto"/>
          <w:highlight w:val="none"/>
          <w:lang w:eastAsia="zh-CN"/>
        </w:rPr>
        <w:t xml:space="preserve">目</w:t>
      </w:r>
      <w:r>
        <w:rPr>
          <w:rFonts w:ascii="Times New Roman" w:eastAsia="仿宋_GB2312" w:hAnsi="Times New Roman" w:cs="Times New Roman" w:hint="default"/>
          <w:color w:val="auto"/>
          <w:highlight w:val="none"/>
        </w:rPr>
        <w:t xml:space="preserve">顺利实施。</w:t>
      </w:r>
    </w:p>
    <w:p>
      <w:pPr>
        <w:bidi w:val="0"/>
        <w:jc w:val="both"/>
        <w:rPr>
          <w:rFonts w:ascii="Times New Roman" w:eastAsia="仿宋_GB2312" w:hAnsi="Times New Roman" w:cs="Times New Roman" w:hint="default"/>
          <w:color w:val="auto"/>
          <w:highlight w:val="none"/>
        </w:rPr>
      </w:pPr>
      <w:r>
        <w:rPr>
          <w:rFonts w:ascii="Times New Roman" w:hAnsi="Times New Roman" w:cs="Times New Roman" w:hint="eastAsia"/>
          <w:color w:val="auto"/>
          <w:highlight w:val="none"/>
          <w:lang w:val="en-US" w:eastAsia="zh-CN"/>
        </w:rPr>
        <w:t xml:space="preserve">2</w:t>
      </w:r>
      <w:r>
        <w:rPr>
          <w:rFonts w:ascii="Times New Roman" w:eastAsia="仿宋_GB2312" w:hAnsi="Times New Roman" w:cs="Times New Roman" w:hint="default"/>
          <w:color w:val="auto"/>
          <w:highlight w:val="none"/>
        </w:rPr>
        <w:t xml:space="preserve">.严格程序，确保资金效益。严格资金审批流程，明确资金使用范围，保证项目资金专款专用。有效杜绝了截留、挪用、滞留、浪费资金等现象的发生，确保了资金使用安全和最大效益的发挥。 </w:t>
      </w:r>
    </w:p>
    <w:p>
      <w:pPr>
        <w:bidi w:val="0"/>
        <w:jc w:val="both"/>
        <w:rPr>
          <w:rFonts w:ascii="Times New Roman" w:eastAsia="仿宋_GB2312" w:hAnsi="Times New Roman" w:cs="Times New Roman" w:hint="eastAsia"/>
          <w:color w:val="auto"/>
          <w:highlight w:val="none"/>
          <w:lang w:eastAsia="zh-CN"/>
        </w:rPr>
      </w:pPr>
      <w:r>
        <w:rPr>
          <w:rFonts w:ascii="Times New Roman" w:hAnsi="Times New Roman" w:cs="Times New Roman" w:hint="eastAsia"/>
          <w:color w:val="auto"/>
          <w:highlight w:val="none"/>
          <w:lang w:val="en-US" w:eastAsia="zh-CN"/>
        </w:rPr>
        <w:t xml:space="preserve">3.</w:t>
      </w:r>
      <w:r>
        <w:rPr>
          <w:rFonts w:ascii="Times New Roman" w:eastAsia="仿宋_GB2312" w:hAnsi="Times New Roman" w:cs="Times New Roman" w:hint="default"/>
          <w:color w:val="auto"/>
          <w:highlight w:val="none"/>
        </w:rPr>
        <w:t xml:space="preserve">多元渠道优化外聘教师成本：建立外聘教师人才库，拓宽招聘渠道，引入竞争</w:t>
      </w:r>
      <w:r>
        <w:rPr>
          <w:rFonts w:ascii="Times New Roman" w:hAnsi="Times New Roman" w:cs="Times New Roman" w:hint="eastAsia"/>
          <w:color w:val="auto"/>
          <w:highlight w:val="none"/>
          <w:lang w:val="en-US" w:eastAsia="zh-CN"/>
        </w:rPr>
        <w:t xml:space="preserve">机制</w:t>
      </w:r>
      <w:r>
        <w:rPr>
          <w:rFonts w:ascii="Times New Roman" w:eastAsia="仿宋_GB2312" w:hAnsi="Times New Roman" w:cs="Times New Roman" w:hint="default"/>
          <w:color w:val="auto"/>
          <w:highlight w:val="none"/>
        </w:rPr>
        <w:t xml:space="preserve">降低薪酬。同时，组织外聘教师参与校内教学研讨，提升教学效率，减少不必要</w:t>
      </w:r>
      <w:r>
        <w:rPr>
          <w:rFonts w:ascii="Times New Roman" w:hAnsi="Times New Roman" w:cs="Times New Roman" w:hint="eastAsia"/>
          <w:color w:val="auto"/>
          <w:highlight w:val="none"/>
          <w:lang w:val="en-US" w:eastAsia="zh-CN"/>
        </w:rPr>
        <w:t xml:space="preserve">的</w:t>
      </w:r>
      <w:r>
        <w:rPr>
          <w:rFonts w:ascii="Times New Roman" w:eastAsia="仿宋_GB2312" w:hAnsi="Times New Roman" w:cs="Times New Roman" w:hint="default"/>
          <w:color w:val="auto"/>
          <w:highlight w:val="none"/>
        </w:rPr>
        <w:t xml:space="preserve">授课时长</w:t>
      </w:r>
      <w:r>
        <w:rPr>
          <w:rFonts w:ascii="Times New Roman" w:hAnsi="Times New Roman" w:cs="Times New Roman" w:hint="eastAsia"/>
          <w:color w:val="auto"/>
          <w:highlight w:val="none"/>
          <w:lang w:eastAsia="zh-CN"/>
        </w:rPr>
        <w:t xml:space="preserve">。</w:t>
      </w:r>
    </w:p>
    <w:p>
      <w:pPr>
        <w:bidi w:val="0"/>
        <w:jc w:val="both"/>
        <w:rPr>
          <w:rFonts w:ascii="Times New Roman" w:eastAsia="仿宋_GB2312" w:hAnsi="Times New Roman" w:cs="Times New Roman" w:hint="default"/>
          <w:color w:val="auto"/>
          <w:highlight w:val="none"/>
        </w:rPr>
      </w:pPr>
      <w:r>
        <w:rPr>
          <w:rFonts w:ascii="Times New Roman" w:hAnsi="Times New Roman" w:cs="Times New Roman" w:hint="eastAsia"/>
          <w:color w:val="auto"/>
          <w:highlight w:val="none"/>
          <w:lang w:val="en-US" w:eastAsia="zh-CN"/>
        </w:rPr>
        <w:t xml:space="preserve">4</w:t>
      </w:r>
      <w:r>
        <w:rPr>
          <w:rFonts w:ascii="Times New Roman" w:eastAsia="仿宋_GB2312" w:hAnsi="Times New Roman" w:cs="Times New Roman" w:hint="default"/>
          <w:color w:val="auto"/>
          <w:highlight w:val="none"/>
        </w:rPr>
        <w:t xml:space="preserve">.精细化管理培训费用</w:t>
      </w:r>
      <w:r>
        <w:rPr>
          <w:rFonts w:ascii="Times New Roman" w:hAnsi="Times New Roman" w:cs="Times New Roman" w:hint="eastAsia"/>
          <w:color w:val="auto"/>
          <w:highlight w:val="none"/>
          <w:lang w:val="en-US" w:eastAsia="zh-CN"/>
        </w:rPr>
        <w:t xml:space="preserve">成本</w:t>
      </w:r>
      <w:r>
        <w:rPr>
          <w:rFonts w:ascii="Times New Roman" w:eastAsia="仿宋_GB2312" w:hAnsi="Times New Roman" w:cs="Times New Roman" w:hint="default"/>
          <w:color w:val="auto"/>
          <w:highlight w:val="none"/>
        </w:rPr>
        <w:t xml:space="preserve">：详细记录培训材料使用情况，依据课程需求精准采购，避免浪费。与多家供应商建立长期合作，通过批量采购获得优惠价格。</w:t>
      </w:r>
    </w:p>
    <w:p>
      <w:pPr>
        <w:bidi w:val="0"/>
        <w:jc w:val="both"/>
        <w:rPr>
          <w:rFonts w:hint="default"/>
          <w:color w:val="auto"/>
          <w:highlight w:val="none"/>
        </w:rPr>
      </w:pPr>
      <w:r>
        <w:rPr>
          <w:rFonts w:ascii="Times New Roman" w:hAnsi="Times New Roman" w:cs="Times New Roman" w:hint="eastAsia"/>
          <w:color w:val="auto"/>
          <w:highlight w:val="none"/>
          <w:lang w:val="en-US" w:eastAsia="zh-CN"/>
        </w:rPr>
        <w:t xml:space="preserve">5.优化</w:t>
      </w:r>
      <w:r>
        <w:rPr>
          <w:rFonts w:ascii="Times New Roman" w:eastAsia="仿宋_GB2312" w:hAnsi="Times New Roman" w:cs="Times New Roman" w:hint="default"/>
          <w:color w:val="auto"/>
          <w:highlight w:val="none"/>
        </w:rPr>
        <w:t xml:space="preserve">水电维修维护</w:t>
      </w:r>
      <w:r>
        <w:rPr>
          <w:rFonts w:ascii="Times New Roman" w:hAnsi="Times New Roman" w:cs="Times New Roman" w:hint="eastAsia"/>
          <w:color w:val="auto"/>
          <w:highlight w:val="none"/>
          <w:lang w:val="en-US" w:eastAsia="zh-CN"/>
        </w:rPr>
        <w:t xml:space="preserve">成本</w:t>
      </w:r>
      <w:r>
        <w:rPr>
          <w:rFonts w:ascii="Times New Roman" w:eastAsia="仿宋_GB2312" w:hAnsi="Times New Roman" w:cs="Times New Roman" w:hint="default"/>
          <w:color w:val="auto"/>
          <w:highlight w:val="none"/>
        </w:rPr>
        <w:t xml:space="preserve">：与专业维修团队签订长期合同，获取优惠维修价格，减少冗余内容</w:t>
      </w:r>
      <w:r>
        <w:rPr>
          <w:rFonts w:ascii="Times New Roman" w:hAnsi="Times New Roman" w:cs="Times New Roman" w:hint="eastAsia"/>
          <w:color w:val="auto"/>
          <w:highlight w:val="none"/>
          <w:lang w:eastAsia="zh-CN"/>
        </w:rPr>
        <w:t xml:space="preserve">。</w:t>
      </w:r>
    </w:p>
    <w:p>
      <w:pPr>
        <w:pStyle w:val="Heading3"/>
        <w:bidi w:val="0"/>
        <w:jc w:val="both"/>
        <w:outlineLvl w:val="1"/>
        <w:rPr>
          <w:rFonts w:ascii="楷体" w:eastAsia="楷体" w:hAnsi="楷体" w:cs="楷体" w:hint="eastAsia"/>
          <w:color w:val="auto"/>
          <w:highlight w:val="none"/>
        </w:rPr>
      </w:pPr>
      <w:bookmarkStart w:id="183" w:name="_Toc4673"/>
      <w:bookmarkStart w:id="184" w:name="_Toc27408"/>
      <w:bookmarkStart w:id="185" w:name="_Toc11238"/>
      <w:bookmarkStart w:id="186" w:name="_Toc19312"/>
      <w:bookmarkStart w:id="187" w:name="_Toc6359"/>
      <w:r>
        <w:rPr>
          <w:rFonts w:ascii="楷体" w:eastAsia="楷体" w:hAnsi="楷体" w:cs="楷体" w:hint="eastAsia"/>
          <w:color w:val="auto"/>
          <w:highlight w:val="none"/>
        </w:rPr>
        <w:t xml:space="preserve">（二）存在的问题及分析</w:t>
      </w:r>
      <w:bookmarkEnd w:id="183"/>
      <w:bookmarkEnd w:id="184"/>
      <w:bookmarkEnd w:id="185"/>
      <w:bookmarkEnd w:id="186"/>
      <w:bookmarkEnd w:id="187"/>
    </w:p>
    <w:p>
      <w:pPr>
        <w:bidi w:val="0"/>
        <w:rPr>
          <w:rFonts w:ascii="Times New Roman" w:eastAsia="仿宋_GB2312" w:hAnsi="Times New Roman" w:cs="Times New Roman" w:hint="default"/>
          <w:color w:val="auto"/>
          <w:highlight w:val="none"/>
          <w:lang w:eastAsia="zh-CN"/>
        </w:rPr>
      </w:pPr>
      <w:bookmarkStart w:id="188" w:name="_Toc13270"/>
      <w:bookmarkStart w:id="189" w:name="_Toc13345"/>
      <w:bookmarkStart w:id="190" w:name="_Toc20116"/>
      <w:bookmarkStart w:id="191" w:name="_Toc5702"/>
      <w:bookmarkStart w:id="192" w:name="_Toc22271"/>
      <w:r>
        <w:rPr>
          <w:rFonts w:ascii="Times New Roman" w:hAnsi="Times New Roman" w:cs="Times New Roman" w:hint="eastAsia"/>
          <w:color w:val="auto"/>
          <w:highlight w:val="none"/>
          <w:lang w:val="en-US" w:eastAsia="zh-CN"/>
        </w:rPr>
        <w:t xml:space="preserve">1.</w:t>
      </w:r>
      <w:r>
        <w:rPr>
          <w:rFonts w:ascii="Times New Roman" w:eastAsia="仿宋_GB2312" w:hAnsi="Times New Roman" w:cs="Times New Roman" w:hint="default"/>
          <w:color w:val="auto"/>
          <w:highlight w:val="none"/>
        </w:rPr>
        <w:t xml:space="preserve">本单位</w:t>
      </w:r>
      <w:r>
        <w:rPr>
          <w:rFonts w:ascii="Times New Roman" w:eastAsia="仿宋_GB2312" w:hAnsi="Times New Roman" w:cs="Times New Roman" w:hint="default"/>
          <w:color w:val="auto"/>
          <w:highlight w:val="none"/>
          <w:lang w:val="en-US" w:eastAsia="zh-CN"/>
        </w:rPr>
        <w:t xml:space="preserve">项目绩效管理和</w:t>
      </w:r>
      <w:r>
        <w:rPr>
          <w:rFonts w:ascii="Times New Roman" w:eastAsia="仿宋_GB2312" w:hAnsi="Times New Roman" w:cs="Times New Roman" w:hint="default"/>
          <w:color w:val="auto"/>
          <w:highlight w:val="none"/>
        </w:rPr>
        <w:t xml:space="preserve">绩效评价</w:t>
      </w:r>
      <w:r>
        <w:rPr>
          <w:rFonts w:ascii="Times New Roman" w:eastAsia="仿宋_GB2312" w:hAnsi="Times New Roman" w:cs="Times New Roman" w:hint="default"/>
          <w:color w:val="auto"/>
          <w:highlight w:val="none"/>
          <w:lang w:val="en-US" w:eastAsia="zh-CN"/>
        </w:rPr>
        <w:t xml:space="preserve">工作需进一步加强，</w:t>
      </w:r>
      <w:r>
        <w:rPr>
          <w:rFonts w:ascii="Times New Roman" w:eastAsia="仿宋_GB2312" w:hAnsi="Times New Roman" w:cs="Times New Roman" w:hint="default"/>
          <w:color w:val="auto"/>
          <w:highlight w:val="none"/>
        </w:rPr>
        <w:t xml:space="preserve">绩效评价水平有待</w:t>
      </w:r>
      <w:r>
        <w:rPr>
          <w:rFonts w:ascii="Times New Roman" w:eastAsia="仿宋_GB2312" w:hAnsi="Times New Roman" w:cs="Times New Roman" w:hint="default"/>
          <w:color w:val="auto"/>
          <w:highlight w:val="none"/>
          <w:lang w:val="en-US" w:eastAsia="zh-CN"/>
        </w:rPr>
        <w:t xml:space="preserve">进一步</w:t>
      </w:r>
      <w:r>
        <w:rPr>
          <w:rFonts w:ascii="Times New Roman" w:eastAsia="仿宋_GB2312" w:hAnsi="Times New Roman" w:cs="Times New Roman" w:hint="default"/>
          <w:color w:val="auto"/>
          <w:highlight w:val="none"/>
        </w:rPr>
        <w:t xml:space="preserve">提高</w:t>
      </w:r>
      <w:r>
        <w:rPr>
          <w:rFonts w:ascii="Times New Roman" w:eastAsia="仿宋_GB2312" w:hAnsi="Times New Roman" w:cs="Times New Roman" w:hint="default"/>
          <w:color w:val="auto"/>
          <w:highlight w:val="none"/>
          <w:lang w:eastAsia="zh-CN"/>
        </w:rPr>
        <w:t xml:space="preserve">。</w:t>
      </w:r>
    </w:p>
    <w:p>
      <w:pPr>
        <w:pStyle w:val="Heading3"/>
        <w:rPr>
          <w:rFonts w:ascii="Times New Roman" w:eastAsia="仿宋_GB2312" w:hAnsi="Times New Roman" w:cs="Times New Roman" w:hint="eastAsia"/>
          <w:b w:val="0"/>
          <w:color w:val="auto"/>
          <w:kern w:val="2"/>
          <w:sz w:val="32"/>
          <w:szCs w:val="22"/>
          <w:highlight w:val="none"/>
          <w:lang w:val="en-US" w:eastAsia="zh-CN" w:bidi="ar-SA"/>
        </w:rPr>
      </w:pPr>
      <w:r>
        <w:rPr>
          <w:rFonts w:ascii="Times New Roman" w:eastAsia="仿宋_GB2312" w:hAnsi="Times New Roman" w:cs="Times New Roman" w:hint="eastAsia"/>
          <w:b w:val="0"/>
          <w:color w:val="auto"/>
          <w:kern w:val="2"/>
          <w:sz w:val="32"/>
          <w:szCs w:val="22"/>
          <w:highlight w:val="none"/>
          <w:lang w:val="en-US" w:eastAsia="zh-CN" w:bidi="ar-SA"/>
        </w:rPr>
        <w:t xml:space="preserve">2.在资金分配上，没有根据实际需求科学分配，</w:t>
      </w:r>
      <w:bookmarkStart w:id="193" w:name="OLE_LINK8"/>
      <w:r>
        <w:rPr>
          <w:rFonts w:ascii="Times New Roman" w:eastAsia="仿宋_GB2312" w:hAnsi="Times New Roman" w:cs="Times New Roman" w:hint="eastAsia"/>
          <w:b w:val="0"/>
          <w:color w:val="auto"/>
          <w:kern w:val="2"/>
          <w:sz w:val="32"/>
          <w:szCs w:val="22"/>
          <w:highlight w:val="none"/>
          <w:lang w:val="en-US" w:eastAsia="zh-CN" w:bidi="ar-SA"/>
        </w:rPr>
        <w:t xml:space="preserve">存在部分环节资金过剩，存在部分环节资金短缺的情况，比如之前项目的培训成本年初设置绩效目标时，没有全面考虑资金所需情况，导致年末培训成本资金短缺，不得不调整绩效目标。</w:t>
      </w:r>
      <w:bookmarkEnd w:id="193"/>
    </w:p>
    <w:p>
      <w:pPr>
        <w:rPr>
          <w:rFonts w:hint="default"/>
          <w:color w:val="auto"/>
          <w:highlight w:val="none"/>
          <w:lang w:val="en-US" w:eastAsia="zh-CN"/>
        </w:rPr>
      </w:pPr>
      <w:r>
        <w:rPr>
          <w:rFonts w:hint="eastAsia"/>
          <w:color w:val="auto"/>
          <w:highlight w:val="none"/>
          <w:lang w:val="en-US" w:eastAsia="zh-CN"/>
        </w:rPr>
        <w:t xml:space="preserve">3.</w:t>
      </w:r>
      <w:r>
        <w:rPr>
          <w:rFonts w:hint="default"/>
          <w:color w:val="auto"/>
          <w:highlight w:val="none"/>
          <w:lang w:val="en-US" w:eastAsia="zh-CN"/>
        </w:rPr>
        <w:t xml:space="preserve">外聘教师稳定性差：外聘教师工作变动频繁，易出现临时缺课情况。主要原因是企业业务调整或个人职业发展规划变化，影响教学连贯性。</w:t>
      </w:r>
    </w:p>
    <w:p>
      <w:pPr>
        <w:rPr>
          <w:rFonts w:hint="default"/>
          <w:color w:val="auto"/>
          <w:highlight w:val="none"/>
          <w:lang w:val="en-US" w:eastAsia="zh-CN"/>
        </w:rPr>
      </w:pPr>
      <w:r>
        <w:rPr>
          <w:rFonts w:hint="eastAsia"/>
          <w:color w:val="auto"/>
          <w:highlight w:val="none"/>
          <w:lang w:val="en-US" w:eastAsia="zh-CN"/>
        </w:rPr>
        <w:t xml:space="preserve">4</w:t>
      </w:r>
      <w:r>
        <w:rPr>
          <w:rFonts w:hint="default"/>
          <w:color w:val="auto"/>
          <w:highlight w:val="none"/>
          <w:lang w:val="en-US" w:eastAsia="zh-CN"/>
        </w:rPr>
        <w:t xml:space="preserve">.培训设备更新滞后：部分培训设备老化，但因资金有限，难以快速更新，导致培训效果受影响。新设备价格高昂，学校自有资金需多方分配，对设备采购投入不足。</w:t>
      </w:r>
    </w:p>
    <w:p>
      <w:pPr>
        <w:rPr>
          <w:rFonts w:hint="default"/>
          <w:color w:val="auto"/>
          <w:highlight w:val="none"/>
          <w:lang w:val="en-US" w:eastAsia="zh-CN"/>
        </w:rPr>
      </w:pPr>
      <w:r>
        <w:rPr>
          <w:rFonts w:hint="eastAsia"/>
          <w:color w:val="auto"/>
          <w:highlight w:val="none"/>
          <w:lang w:val="en-US" w:eastAsia="zh-CN"/>
        </w:rPr>
        <w:t xml:space="preserve">5</w:t>
      </w:r>
      <w:r>
        <w:rPr>
          <w:rFonts w:hint="default"/>
          <w:color w:val="auto"/>
          <w:highlight w:val="none"/>
          <w:lang w:val="en-US" w:eastAsia="zh-CN"/>
        </w:rPr>
        <w:t xml:space="preserve">.水电节能改造推进难：老旧校区线路复杂，改造施工难度大，涉及重新布线、更换管道等，协调工作繁琐，导致节能改造进度缓慢。</w:t>
      </w:r>
    </w:p>
    <w:p>
      <w:pPr>
        <w:pStyle w:val="Heading2"/>
        <w:bidi w:val="0"/>
        <w:jc w:val="both"/>
        <w:outlineLvl w:val="0"/>
        <w:rPr>
          <w:rFonts w:ascii="黑体" w:eastAsia="黑体" w:hAnsi="黑体" w:cs="黑体" w:hint="eastAsia"/>
          <w:color w:val="auto"/>
          <w:highlight w:val="none"/>
        </w:rPr>
      </w:pPr>
      <w:bookmarkStart w:id="194" w:name="_Toc22624"/>
      <w:r>
        <w:rPr>
          <w:rFonts w:ascii="黑体" w:eastAsia="黑体" w:hAnsi="黑体" w:cs="黑体" w:hint="eastAsia"/>
          <w:color w:val="auto"/>
          <w:highlight w:val="none"/>
        </w:rPr>
        <w:t xml:space="preserve">六、有关建议</w:t>
      </w:r>
      <w:bookmarkEnd w:id="188"/>
      <w:bookmarkEnd w:id="189"/>
      <w:bookmarkEnd w:id="190"/>
      <w:bookmarkEnd w:id="191"/>
      <w:bookmarkEnd w:id="192"/>
      <w:bookmarkEnd w:id="194"/>
    </w:p>
    <w:p>
      <w:pPr>
        <w:bidi w:val="0"/>
        <w:jc w:val="both"/>
        <w:rPr>
          <w:rFonts w:ascii="Times New Roman" w:eastAsia="仿宋_GB2312" w:hAnsi="Times New Roman" w:cs="Times New Roman" w:hint="default"/>
          <w:color w:val="auto"/>
          <w:highlight w:val="none"/>
        </w:rPr>
      </w:pPr>
      <w:r>
        <w:rPr>
          <w:rFonts w:ascii="Times New Roman" w:hAnsi="Times New Roman" w:cs="Times New Roman" w:hint="eastAsia"/>
          <w:color w:val="auto"/>
          <w:highlight w:val="none"/>
          <w:lang w:val="en-US" w:eastAsia="zh-CN"/>
        </w:rPr>
        <w:t xml:space="preserve">1.</w:t>
      </w:r>
      <w:r>
        <w:rPr>
          <w:rFonts w:ascii="Times New Roman" w:eastAsia="仿宋_GB2312" w:hAnsi="Times New Roman" w:cs="Times New Roman" w:hint="default"/>
          <w:color w:val="auto"/>
          <w:highlight w:val="none"/>
        </w:rPr>
        <w:t xml:space="preserve">加强绩效管理培训，夯实绩效管理基础工作，建章建制，建立统一的管理制度和控制执行标准，确保项目资金使用安全、规范，项目实施成果质量达标。</w:t>
      </w:r>
    </w:p>
    <w:p>
      <w:pPr>
        <w:pStyle w:val="Heading3"/>
        <w:rPr>
          <w:rFonts w:ascii="Times New Roman" w:eastAsia="仿宋_GB2312" w:hAnsi="Times New Roman" w:cs="Times New Roman" w:hint="eastAsia"/>
          <w:b w:val="0"/>
          <w:color w:val="auto"/>
          <w:kern w:val="2"/>
          <w:sz w:val="32"/>
          <w:szCs w:val="22"/>
          <w:highlight w:val="none"/>
          <w:lang w:val="en-US" w:eastAsia="zh-CN" w:bidi="ar-SA"/>
        </w:rPr>
      </w:pPr>
      <w:r>
        <w:rPr>
          <w:rFonts w:ascii="Times New Roman" w:eastAsia="仿宋_GB2312" w:hAnsi="Times New Roman" w:cs="Times New Roman" w:hint="eastAsia"/>
          <w:b w:val="0"/>
          <w:color w:val="auto"/>
          <w:kern w:val="2"/>
          <w:sz w:val="32"/>
          <w:szCs w:val="22"/>
          <w:highlight w:val="none"/>
          <w:lang w:val="en-US" w:eastAsia="zh-CN" w:bidi="ar-SA"/>
        </w:rPr>
        <w:t xml:space="preserve">2.优化预算编制流程，细化资金测算，加强部门沟通，按需调配资金，精准调研项目需求预算编制，灵活调配解决资金的短缺与过剩问题。</w:t>
      </w:r>
    </w:p>
    <w:p>
      <w:pPr>
        <w:rPr>
          <w:rFonts w:hint="default"/>
          <w:color w:val="auto"/>
          <w:highlight w:val="none"/>
        </w:rPr>
      </w:pPr>
      <w:r>
        <w:rPr>
          <w:rFonts w:hint="default"/>
          <w:color w:val="auto"/>
          <w:highlight w:val="none"/>
        </w:rPr>
        <w:t xml:space="preserve"> </w:t>
      </w:r>
      <w:r>
        <w:rPr>
          <w:rFonts w:hint="eastAsia"/>
          <w:color w:val="auto"/>
          <w:highlight w:val="none"/>
          <w:lang w:val="en-US" w:eastAsia="zh-CN"/>
        </w:rPr>
        <w:t xml:space="preserve">3.</w:t>
      </w:r>
      <w:r>
        <w:rPr>
          <w:rFonts w:hint="default"/>
          <w:color w:val="auto"/>
          <w:highlight w:val="none"/>
        </w:rPr>
        <w:t xml:space="preserve">稳定外聘教师队伍：与外聘教师签订更灵活的长期合同，提供一定福利保障，如购买商业保险、发放节日补贴等。同时，为其提供职业发展规划指导，增强归属感。</w:t>
      </w:r>
    </w:p>
    <w:p>
      <w:pPr>
        <w:rPr>
          <w:rFonts w:hint="default"/>
          <w:color w:val="auto"/>
          <w:highlight w:val="none"/>
        </w:rPr>
      </w:pPr>
      <w:r>
        <w:rPr>
          <w:rFonts w:hint="eastAsia"/>
          <w:color w:val="auto"/>
          <w:highlight w:val="none"/>
          <w:lang w:val="en-US" w:eastAsia="zh-CN"/>
        </w:rPr>
        <w:t xml:space="preserve">4.</w:t>
      </w:r>
      <w:r>
        <w:rPr>
          <w:rFonts w:hint="default"/>
          <w:color w:val="auto"/>
          <w:highlight w:val="none"/>
        </w:rPr>
        <w:t xml:space="preserve">多途径解决培训设备更新资金：一方面向</w:t>
      </w:r>
      <w:r>
        <w:rPr>
          <w:rFonts w:hint="eastAsia"/>
          <w:color w:val="auto"/>
          <w:highlight w:val="none"/>
          <w:lang w:val="en-US" w:eastAsia="zh-CN"/>
        </w:rPr>
        <w:t xml:space="preserve">主管</w:t>
      </w:r>
      <w:r>
        <w:rPr>
          <w:rFonts w:hint="default"/>
          <w:color w:val="auto"/>
          <w:highlight w:val="none"/>
        </w:rPr>
        <w:t xml:space="preserve">部门申请专项设备购置补贴；另一方面与企业合作，争取企业捐赠或设备租赁，缓解资金压力。</w:t>
      </w:r>
    </w:p>
    <w:p>
      <w:pPr>
        <w:rPr>
          <w:rFonts w:hint="default"/>
          <w:color w:val="auto"/>
          <w:highlight w:val="none"/>
        </w:rPr>
      </w:pPr>
      <w:r>
        <w:rPr>
          <w:rFonts w:hint="eastAsia"/>
          <w:color w:val="auto"/>
          <w:highlight w:val="none"/>
          <w:lang w:val="en-US" w:eastAsia="zh-CN"/>
        </w:rPr>
        <w:t xml:space="preserve">5</w:t>
      </w:r>
      <w:r>
        <w:rPr>
          <w:rFonts w:hint="default"/>
          <w:color w:val="auto"/>
          <w:highlight w:val="none"/>
        </w:rPr>
        <w:t xml:space="preserve">.加快水电节能改造：成立专门改造协调小组，由后勤、财务、基建等多部门人员组成，统筹规划施工流程，合理安排施工时间，减少对教学的影响，加速推进改造工作。</w:t>
      </w:r>
    </w:p>
    <w:p>
      <w:pPr>
        <w:pStyle w:val="Heading2"/>
        <w:bidi w:val="0"/>
        <w:jc w:val="both"/>
        <w:outlineLvl w:val="0"/>
        <w:rPr>
          <w:rFonts w:ascii="黑体" w:eastAsia="黑体" w:hAnsi="黑体" w:cs="黑体" w:hint="default"/>
          <w:bCs/>
          <w:iCs/>
          <w:color w:val="auto"/>
          <w:highlight w:val="none"/>
        </w:rPr>
      </w:pPr>
      <w:bookmarkStart w:id="195" w:name="_Toc12100"/>
      <w:bookmarkStart w:id="196" w:name="_Toc5794"/>
      <w:bookmarkStart w:id="197" w:name="_Toc21621"/>
      <w:bookmarkStart w:id="198" w:name="_Toc22823"/>
      <w:bookmarkStart w:id="199" w:name="_Toc24871"/>
      <w:bookmarkStart w:id="200" w:name="_Toc12935"/>
      <w:r>
        <w:rPr>
          <w:rFonts w:ascii="黑体" w:eastAsia="黑体" w:hAnsi="黑体" w:cs="黑体" w:hint="default"/>
          <w:bCs/>
          <w:iCs/>
          <w:color w:val="auto"/>
          <w:highlight w:val="none"/>
        </w:rPr>
        <w:t xml:space="preserve">七、其他需要说明的问题</w:t>
      </w:r>
      <w:bookmarkEnd w:id="195"/>
      <w:bookmarkEnd w:id="196"/>
      <w:bookmarkEnd w:id="197"/>
      <w:bookmarkEnd w:id="198"/>
      <w:bookmarkEnd w:id="199"/>
      <w:bookmarkEnd w:id="200"/>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（一）本项目部分间接产生的效果无法准确在短期内衡量，因此很难认定项目产生的全部效果。通过指标来反映绩效，指标的科学性和全面性需要不断地完善和研究。</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w:t>
      </w:r>
      <w:r>
        <w:rPr>
          <w:rFonts w:ascii="Times New Roman" w:hAnsi="Times New Roman" w:cs="Times New Roman" w:hint="eastAsia"/>
          <w:color w:val="auto"/>
          <w:highlight w:val="none"/>
          <w:lang w:val="en-US" w:eastAsia="zh-CN"/>
        </w:rPr>
        <w:t xml:space="preserve">二</w:t>
      </w:r>
      <w:r>
        <w:rPr>
          <w:rFonts w:ascii="Times New Roman" w:eastAsia="仿宋_GB2312" w:hAnsi="Times New Roman" w:cs="Times New Roman" w:hint="default"/>
          <w:color w:val="auto"/>
          <w:highlight w:val="none"/>
        </w:rPr>
        <w:t xml:space="preserve">）评价结果分别编入政府决算和部门预算，报送本级人民代表大会常务委员会，并依法予以公开。</w:t>
      </w:r>
    </w:p>
    <w:p>
      <w:pPr>
        <w:pStyle w:val="Heading2"/>
        <w:bidi w:val="0"/>
        <w:jc w:val="both"/>
        <w:outlineLvl w:val="0"/>
        <w:rPr>
          <w:rFonts w:ascii="黑体" w:eastAsia="黑体" w:hAnsi="黑体" w:cs="黑体" w:hint="default"/>
          <w:bCs/>
          <w:iCs/>
          <w:color w:val="auto"/>
          <w:highlight w:val="none"/>
        </w:rPr>
      </w:pPr>
      <w:bookmarkStart w:id="201" w:name="_Toc4210"/>
      <w:bookmarkStart w:id="202" w:name="_Toc6302"/>
      <w:bookmarkStart w:id="203" w:name="_Toc28493"/>
      <w:bookmarkStart w:id="204" w:name="_Toc30245"/>
      <w:r>
        <w:rPr>
          <w:rFonts w:ascii="黑体" w:eastAsia="黑体" w:hAnsi="黑体" w:cs="黑体" w:hint="default"/>
          <w:bCs/>
          <w:iCs/>
          <w:color w:val="auto"/>
          <w:highlight w:val="none"/>
        </w:rPr>
        <w:t xml:space="preserve">八、附件</w:t>
      </w:r>
      <w:bookmarkEnd w:id="201"/>
      <w:bookmarkEnd w:id="202"/>
      <w:bookmarkEnd w:id="203"/>
      <w:bookmarkEnd w:id="204"/>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1、项目支出绩效自评表</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2、项目支出绩效评价指标体系及评分</w:t>
      </w:r>
    </w:p>
    <w:p>
      <w:pPr>
        <w:jc w:val="both"/>
        <w:rPr>
          <w:rFonts w:ascii="Times New Roman" w:eastAsia="仿宋_GB2312" w:hAnsi="Times New Roman" w:cs="Times New Roman" w:hint="default"/>
          <w:color w:val="auto"/>
          <w:highlight w:val="none"/>
        </w:rPr>
      </w:pPr>
    </w:p>
    <w:p>
      <w:pPr>
        <w:jc w:val="both"/>
        <w:rPr>
          <w:rFonts w:ascii="Times New Roman" w:eastAsia="仿宋_GB2312" w:hAnsi="Times New Roman" w:cs="Times New Roman" w:hint="default"/>
          <w:color w:val="auto"/>
          <w:highlight w:val="none"/>
        </w:rPr>
      </w:pPr>
    </w:p>
    <w:p>
      <w:pPr>
        <w:jc w:val="both"/>
        <w:rPr>
          <w:rFonts w:ascii="Times New Roman" w:eastAsia="仿宋_GB2312" w:hAnsi="Times New Roman" w:cs="Times New Roman" w:hint="default"/>
          <w:color w:val="auto"/>
          <w:highlight w:val="none"/>
        </w:rPr>
      </w:pPr>
    </w:p>
    <w:p>
      <w:pPr>
        <w:jc w:val="both"/>
        <w:rPr>
          <w:rFonts w:ascii="Times New Roman" w:eastAsia="仿宋_GB2312" w:hAnsi="Times New Roman" w:cs="Times New Roman" w:hint="default"/>
          <w:color w:val="auto"/>
          <w:highlight w:val="none"/>
        </w:rPr>
      </w:pPr>
    </w:p>
    <w:p>
      <w:pPr>
        <w:pStyle w:val="Heading2"/>
        <w:bidi w:val="0"/>
        <w:jc w:val="both"/>
        <w:outlineLvl w:val="0"/>
        <w:rPr>
          <w:rFonts w:ascii="Times New Roman" w:eastAsia="仿宋_GB2312" w:hAnsi="Times New Roman" w:cs="Times New Roman" w:hint="default"/>
          <w:color w:val="auto"/>
          <w:highlight w:val="none"/>
        </w:rPr>
      </w:pPr>
      <w:bookmarkStart w:id="205" w:name="_Toc15698"/>
      <w:bookmarkStart w:id="206" w:name="_Toc28598"/>
      <w:r>
        <w:br w:type="page"/>
      </w:r>
      <w:bookmarkStart w:id="207" w:name="_Toc25192"/>
      <w:r>
        <w:rPr>
          <w:rFonts w:ascii="Times New Roman" w:eastAsia="仿宋_GB2312" w:hAnsi="Times New Roman" w:cs="Times New Roman" w:hint="default"/>
          <w:bCs/>
          <w:iCs/>
          <w:color w:val="auto"/>
          <w:highlight w:val="none"/>
        </w:rPr>
        <w:t xml:space="preserve">附件1：</w:t>
      </w:r>
      <w:bookmarkEnd w:id="205"/>
      <w:bookmarkEnd w:id="206"/>
      <w:r>
        <w:rPr>
          <w:rFonts w:ascii="Times New Roman" w:eastAsia="仿宋_GB2312" w:hAnsi="Times New Roman" w:cs="Times New Roman" w:hint="default"/>
          <w:color w:val="auto"/>
          <w:highlight w:val="none"/>
        </w:rPr>
        <w:t xml:space="preserve">项目支出绩效自评表</w:t>
      </w:r>
      <w:bookmarkEnd w:id="207"/>
    </w:p>
    <w:p>
      <w:pPr>
        <w:rPr>
          <w:rFonts w:hint="default"/>
          <w:color w:val="auto"/>
          <w:highlight w:val="none"/>
        </w:rPr>
      </w:pPr>
    </w:p>
    <w:tbl>
      <w:tblPr>
        <w:tblStyle w:val="NormalTable"/>
        <w:tblW w:w="5817" w:type="pct"/>
        <w:tblInd w:w="-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Look w:firstRow="0" w:lastRow="0" w:firstColumn="0" w:lastColumn="0" w:noHBand="1" w:noVBand="1"/>
      </w:tblPr>
      <w:tblGrid>
        <w:gridCol w:w="584"/>
        <w:gridCol w:w="516"/>
        <w:gridCol w:w="854"/>
        <w:gridCol w:w="1341"/>
        <w:gridCol w:w="850"/>
        <w:gridCol w:w="643"/>
        <w:gridCol w:w="464"/>
        <w:gridCol w:w="453"/>
        <w:gridCol w:w="929"/>
        <w:gridCol w:w="700"/>
        <w:gridCol w:w="700"/>
        <w:gridCol w:w="579"/>
        <w:gridCol w:w="654"/>
        <w:gridCol w:w="649"/>
      </w:tblGrid>
      <w:tr>
        <w:tblPrEx>
          <w:tblW w:w="5817" w:type="pct"/>
          <w:tblInd w:w="-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420"/>
        </w:trPr>
        <w:tc>
          <w:tcPr>
            <w:tcW w:w="5000" w:type="pct"/>
            <w:gridSpan w:val="14"/>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auto"/>
              <w:textAlignment w:val="auto"/>
              <w:rPr>
                <w:color w:val="auto"/>
                <w:sz w:val="15"/>
                <w:szCs w:val="15"/>
                <w:highlight w:val="none"/>
              </w:rPr>
            </w:pPr>
            <w:bookmarkStart w:id="208" w:name="_Toc22143"/>
            <w:bookmarkStart w:id="209" w:name="_Toc1641"/>
            <w:bookmarkStart w:id="210" w:name="_Toc5134"/>
            <w:bookmarkStart w:id="211" w:name="_Toc28099"/>
            <w:r>
              <w:rPr>
                <w:rFonts w:hint="default"/>
                <w:b/>
                <w:bCs/>
                <w:color w:val="auto"/>
                <w:sz w:val="32"/>
                <w:szCs w:val="32"/>
                <w:highlight w:val="none"/>
                <w:lang w:val="en-US" w:eastAsia="zh-CN"/>
              </w:rPr>
              <w:t xml:space="preserve">项目支出绩效自评表</w:t>
            </w:r>
          </w:p>
        </w:tc>
      </w:tr>
      <w:tr>
        <w:tblPrEx>
          <w:tblW w:w="5817" w:type="pct"/>
          <w:tblInd w:w="-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157"/>
        </w:trPr>
        <w:tc>
          <w:tcPr>
            <w:tcW w:w="5000" w:type="pct"/>
            <w:gridSpan w:val="14"/>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(2024年度)</w:t>
            </w:r>
          </w:p>
        </w:tc>
      </w:tr>
      <w:tr>
        <w:tblPrEx>
          <w:tblW w:w="5817" w:type="pct"/>
          <w:tblInd w:w="-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270"/>
        </w:trPr>
        <w:tc>
          <w:tcPr>
            <w:tcW w:w="554"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项目名称</w:t>
            </w:r>
          </w:p>
        </w:tc>
        <w:tc>
          <w:tcPr>
            <w:tcW w:w="4445" w:type="pct"/>
            <w:gridSpan w:val="1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2024年教育及培训经费（ 自有资金 ）</w:t>
            </w:r>
          </w:p>
        </w:tc>
      </w:tr>
      <w:tr>
        <w:tblPrEx>
          <w:tblW w:w="5817" w:type="pct"/>
          <w:tblInd w:w="-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273"/>
        </w:trPr>
        <w:tc>
          <w:tcPr>
            <w:tcW w:w="554"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主管部门</w:t>
            </w:r>
          </w:p>
        </w:tc>
        <w:tc>
          <w:tcPr>
            <w:tcW w:w="2093"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尉犁县技工学校</w:t>
            </w:r>
          </w:p>
        </w:tc>
        <w:tc>
          <w:tcPr>
            <w:tcW w:w="696"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实施单位</w:t>
            </w:r>
          </w:p>
        </w:tc>
        <w:tc>
          <w:tcPr>
            <w:tcW w:w="1654"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尉犁县技工学校</w:t>
            </w:r>
          </w:p>
        </w:tc>
      </w:tr>
      <w:tr>
        <w:tblPrEx>
          <w:tblW w:w="5817" w:type="pct"/>
          <w:tblInd w:w="-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440"/>
        </w:trPr>
        <w:tc>
          <w:tcPr>
            <w:tcW w:w="554" w:type="pct"/>
            <w:gridSpan w:val="2"/>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项目资金</w:t>
            </w:r>
            <w:r>
              <w:rPr>
                <w:rFonts w:hint="eastAsia"/>
                <w:color w:val="auto"/>
                <w:sz w:val="15"/>
                <w:szCs w:val="15"/>
                <w:highlight w:val="none"/>
                <w:lang w:val="en-US" w:eastAsia="zh-CN"/>
              </w:rPr>
              <w:br/>
            </w:r>
            <w:r>
              <w:rPr>
                <w:rFonts w:hint="eastAsia"/>
                <w:color w:val="auto"/>
                <w:sz w:val="15"/>
                <w:szCs w:val="15"/>
                <w:highlight w:val="none"/>
                <w:lang w:val="en-US" w:eastAsia="zh-CN"/>
              </w:rPr>
              <w:t xml:space="preserve">（万元）</w:t>
            </w:r>
          </w:p>
        </w:tc>
        <w:tc>
          <w:tcPr>
            <w:tcW w:w="1106"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资金来源</w:t>
            </w:r>
          </w:p>
        </w:tc>
        <w:tc>
          <w:tcPr>
            <w:tcW w:w="42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年初预算数</w:t>
            </w:r>
          </w:p>
        </w:tc>
        <w:tc>
          <w:tcPr>
            <w:tcW w:w="558"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全年预算数</w:t>
            </w:r>
          </w:p>
        </w:tc>
        <w:tc>
          <w:tcPr>
            <w:tcW w:w="696"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全年执行数</w:t>
            </w:r>
          </w:p>
        </w:tc>
        <w:tc>
          <w:tcPr>
            <w:tcW w:w="705"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分值权重</w:t>
            </w:r>
          </w:p>
        </w:tc>
        <w:tc>
          <w:tcPr>
            <w:tcW w:w="62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执行率</w:t>
            </w:r>
          </w:p>
        </w:tc>
        <w:tc>
          <w:tcPr>
            <w:tcW w:w="32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得分</w:t>
            </w:r>
          </w:p>
        </w:tc>
      </w:tr>
      <w:tr>
        <w:tblPrEx>
          <w:tblW w:w="5817" w:type="pct"/>
          <w:tblInd w:w="-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440"/>
        </w:trPr>
        <w:tc>
          <w:tcPr>
            <w:tcW w:w="554"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1106"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年度资金总额</w:t>
            </w:r>
          </w:p>
        </w:tc>
        <w:tc>
          <w:tcPr>
            <w:tcW w:w="42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280.00</w:t>
            </w:r>
          </w:p>
        </w:tc>
        <w:tc>
          <w:tcPr>
            <w:tcW w:w="558"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289.21</w:t>
            </w:r>
          </w:p>
        </w:tc>
        <w:tc>
          <w:tcPr>
            <w:tcW w:w="696"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bookmarkStart w:id="212" w:name="OLE_LINK12"/>
            <w:r>
              <w:rPr>
                <w:rFonts w:hint="eastAsia"/>
                <w:color w:val="auto"/>
                <w:sz w:val="15"/>
                <w:szCs w:val="15"/>
                <w:highlight w:val="none"/>
                <w:lang w:val="en-US" w:eastAsia="zh-CN"/>
              </w:rPr>
              <w:t xml:space="preserve">289.21</w:t>
            </w:r>
            <w:bookmarkEnd w:id="212"/>
          </w:p>
        </w:tc>
        <w:tc>
          <w:tcPr>
            <w:tcW w:w="705"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10</w:t>
            </w:r>
          </w:p>
        </w:tc>
        <w:tc>
          <w:tcPr>
            <w:tcW w:w="62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100.00%</w:t>
            </w:r>
          </w:p>
        </w:tc>
        <w:tc>
          <w:tcPr>
            <w:tcW w:w="32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10.00分</w:t>
            </w:r>
          </w:p>
        </w:tc>
      </w:tr>
      <w:tr>
        <w:tblPrEx>
          <w:tblW w:w="5817" w:type="pct"/>
          <w:tblInd w:w="-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130"/>
        </w:trPr>
        <w:tc>
          <w:tcPr>
            <w:tcW w:w="554"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1106"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其中：当年财政拨款</w:t>
            </w:r>
          </w:p>
        </w:tc>
        <w:tc>
          <w:tcPr>
            <w:tcW w:w="42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0</w:t>
            </w:r>
          </w:p>
        </w:tc>
        <w:tc>
          <w:tcPr>
            <w:tcW w:w="558"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0</w:t>
            </w:r>
          </w:p>
        </w:tc>
        <w:tc>
          <w:tcPr>
            <w:tcW w:w="696"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0</w:t>
            </w:r>
          </w:p>
        </w:tc>
        <w:tc>
          <w:tcPr>
            <w:tcW w:w="705"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w:t>
            </w:r>
          </w:p>
        </w:tc>
        <w:tc>
          <w:tcPr>
            <w:tcW w:w="62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w:t>
            </w:r>
          </w:p>
        </w:tc>
        <w:tc>
          <w:tcPr>
            <w:tcW w:w="32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w:t>
            </w:r>
          </w:p>
        </w:tc>
      </w:tr>
      <w:tr>
        <w:tblPrEx>
          <w:tblW w:w="5817" w:type="pct"/>
          <w:tblInd w:w="-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113"/>
        </w:trPr>
        <w:tc>
          <w:tcPr>
            <w:tcW w:w="554"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1106"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其他资金</w:t>
            </w:r>
          </w:p>
        </w:tc>
        <w:tc>
          <w:tcPr>
            <w:tcW w:w="42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280.00</w:t>
            </w:r>
          </w:p>
        </w:tc>
        <w:tc>
          <w:tcPr>
            <w:tcW w:w="558"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289.21</w:t>
            </w:r>
          </w:p>
        </w:tc>
        <w:tc>
          <w:tcPr>
            <w:tcW w:w="696"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289.21</w:t>
            </w:r>
          </w:p>
        </w:tc>
        <w:tc>
          <w:tcPr>
            <w:tcW w:w="705"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w:t>
            </w:r>
          </w:p>
        </w:tc>
        <w:tc>
          <w:tcPr>
            <w:tcW w:w="62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w:t>
            </w:r>
          </w:p>
        </w:tc>
        <w:tc>
          <w:tcPr>
            <w:tcW w:w="32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w:t>
            </w:r>
          </w:p>
        </w:tc>
      </w:tr>
      <w:tr>
        <w:tblPrEx>
          <w:tblW w:w="5817" w:type="pct"/>
          <w:tblInd w:w="-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256"/>
        </w:trPr>
        <w:tc>
          <w:tcPr>
            <w:tcW w:w="294"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年度总体目标</w:t>
            </w:r>
          </w:p>
        </w:tc>
        <w:tc>
          <w:tcPr>
            <w:tcW w:w="3050" w:type="pct"/>
            <w:gridSpan w:val="8"/>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总体目标</w:t>
            </w:r>
          </w:p>
        </w:tc>
        <w:tc>
          <w:tcPr>
            <w:tcW w:w="1654"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总体目标完成情况</w:t>
            </w:r>
          </w:p>
        </w:tc>
      </w:tr>
      <w:tr>
        <w:tblPrEx>
          <w:tblW w:w="5817" w:type="pct"/>
          <w:tblInd w:w="-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trPr>
        <w:tc>
          <w:tcPr>
            <w:tcW w:w="294"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3050" w:type="pct"/>
            <w:gridSpan w:val="8"/>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全年目标：外聘教师人数达到15人以上，开设培训期数超过5期，技能等级鉴定人次超过2000人，从而保障技工学校业务工作正常开展，提升教学水平，满足培训各项硬件刚需，提升学员技术水平，提高学员对我校的满意度。</w:t>
            </w:r>
          </w:p>
        </w:tc>
        <w:tc>
          <w:tcPr>
            <w:tcW w:w="1654"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为了保障技工学校业务工作正常开展，提升教学水平，满足培训各项硬件刚需，提升学员技术水平，提高学员对我校的满意度。已完成外聘教师人数达到15人以上，开设培训期数超过5期，技能等级鉴定人次超过2000人。</w:t>
            </w:r>
          </w:p>
        </w:tc>
      </w:tr>
      <w:tr>
        <w:tblPrEx>
          <w:tblW w:w="5817" w:type="pct"/>
          <w:tblInd w:w="-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1410"/>
        </w:trPr>
        <w:tc>
          <w:tcPr>
            <w:tcW w:w="29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2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一级指标</w:t>
            </w:r>
          </w:p>
        </w:tc>
        <w:tc>
          <w:tcPr>
            <w:tcW w:w="43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二级指标</w:t>
            </w:r>
          </w:p>
        </w:tc>
        <w:tc>
          <w:tcPr>
            <w:tcW w:w="67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三级指标</w:t>
            </w:r>
          </w:p>
        </w:tc>
        <w:tc>
          <w:tcPr>
            <w:tcW w:w="42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指标值</w:t>
            </w:r>
          </w:p>
        </w:tc>
        <w:tc>
          <w:tcPr>
            <w:tcW w:w="32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指标值设置依据</w:t>
            </w:r>
          </w:p>
        </w:tc>
        <w:tc>
          <w:tcPr>
            <w:tcW w:w="23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上年完成值</w:t>
            </w:r>
          </w:p>
        </w:tc>
        <w:tc>
          <w:tcPr>
            <w:tcW w:w="22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指标分值权重</w:t>
            </w:r>
          </w:p>
        </w:tc>
        <w:tc>
          <w:tcPr>
            <w:tcW w:w="46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指标赋分规则</w:t>
            </w:r>
          </w:p>
        </w:tc>
        <w:tc>
          <w:tcPr>
            <w:tcW w:w="35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佐证资料</w:t>
            </w:r>
          </w:p>
        </w:tc>
        <w:tc>
          <w:tcPr>
            <w:tcW w:w="35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指标实际完成值</w:t>
            </w:r>
          </w:p>
        </w:tc>
        <w:tc>
          <w:tcPr>
            <w:tcW w:w="29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完成率</w:t>
            </w:r>
          </w:p>
        </w:tc>
        <w:tc>
          <w:tcPr>
            <w:tcW w:w="32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指标得分</w:t>
            </w:r>
          </w:p>
        </w:tc>
        <w:tc>
          <w:tcPr>
            <w:tcW w:w="32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偏差原因分析及改进措施</w:t>
            </w:r>
          </w:p>
        </w:tc>
      </w:tr>
      <w:tr>
        <w:tblPrEx>
          <w:tblW w:w="5817" w:type="pct"/>
          <w:tblInd w:w="-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trPr>
        <w:tc>
          <w:tcPr>
            <w:tcW w:w="294"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年度绩效指标完成情况</w:t>
            </w:r>
          </w:p>
        </w:tc>
        <w:tc>
          <w:tcPr>
            <w:tcW w:w="260"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产出指标</w:t>
            </w:r>
          </w:p>
        </w:tc>
        <w:tc>
          <w:tcPr>
            <w:tcW w:w="43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数量指标</w:t>
            </w:r>
          </w:p>
        </w:tc>
        <w:tc>
          <w:tcPr>
            <w:tcW w:w="67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外聘教师人数</w:t>
            </w:r>
          </w:p>
        </w:tc>
        <w:tc>
          <w:tcPr>
            <w:tcW w:w="42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&gt;=15人</w:t>
            </w:r>
          </w:p>
        </w:tc>
        <w:tc>
          <w:tcPr>
            <w:tcW w:w="32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计划标准</w:t>
            </w:r>
          </w:p>
        </w:tc>
        <w:tc>
          <w:tcPr>
            <w:tcW w:w="23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w:t>
            </w:r>
          </w:p>
        </w:tc>
        <w:tc>
          <w:tcPr>
            <w:tcW w:w="22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8</w:t>
            </w:r>
          </w:p>
        </w:tc>
        <w:tc>
          <w:tcPr>
            <w:tcW w:w="46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按照正常比例赋分</w:t>
            </w:r>
          </w:p>
        </w:tc>
        <w:tc>
          <w:tcPr>
            <w:tcW w:w="35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工作资料</w:t>
            </w:r>
          </w:p>
        </w:tc>
        <w:tc>
          <w:tcPr>
            <w:tcW w:w="35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=15人</w:t>
            </w:r>
          </w:p>
        </w:tc>
        <w:tc>
          <w:tcPr>
            <w:tcW w:w="29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100%</w:t>
            </w:r>
          </w:p>
        </w:tc>
        <w:tc>
          <w:tcPr>
            <w:tcW w:w="32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8</w:t>
            </w:r>
          </w:p>
        </w:tc>
        <w:tc>
          <w:tcPr>
            <w:tcW w:w="32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r>
      <w:tr>
        <w:tblPrEx>
          <w:tblW w:w="5817" w:type="pct"/>
          <w:tblInd w:w="-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trPr>
        <w:tc>
          <w:tcPr>
            <w:tcW w:w="294"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260"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43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数量指标</w:t>
            </w:r>
          </w:p>
        </w:tc>
        <w:tc>
          <w:tcPr>
            <w:tcW w:w="67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开设培训期数</w:t>
            </w:r>
          </w:p>
        </w:tc>
        <w:tc>
          <w:tcPr>
            <w:tcW w:w="42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&gt;=5期</w:t>
            </w:r>
          </w:p>
        </w:tc>
        <w:tc>
          <w:tcPr>
            <w:tcW w:w="32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计划标准</w:t>
            </w:r>
          </w:p>
        </w:tc>
        <w:tc>
          <w:tcPr>
            <w:tcW w:w="23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w:t>
            </w:r>
          </w:p>
        </w:tc>
        <w:tc>
          <w:tcPr>
            <w:tcW w:w="22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8</w:t>
            </w:r>
          </w:p>
        </w:tc>
        <w:tc>
          <w:tcPr>
            <w:tcW w:w="46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按照正常比例赋分</w:t>
            </w:r>
          </w:p>
        </w:tc>
        <w:tc>
          <w:tcPr>
            <w:tcW w:w="35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工作资料</w:t>
            </w:r>
          </w:p>
        </w:tc>
        <w:tc>
          <w:tcPr>
            <w:tcW w:w="35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=5期</w:t>
            </w:r>
          </w:p>
        </w:tc>
        <w:tc>
          <w:tcPr>
            <w:tcW w:w="29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100%</w:t>
            </w:r>
          </w:p>
        </w:tc>
        <w:tc>
          <w:tcPr>
            <w:tcW w:w="32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8</w:t>
            </w:r>
          </w:p>
        </w:tc>
        <w:tc>
          <w:tcPr>
            <w:tcW w:w="32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r>
      <w:tr>
        <w:tblPrEx>
          <w:tblW w:w="5817" w:type="pct"/>
          <w:tblInd w:w="-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trPr>
        <w:tc>
          <w:tcPr>
            <w:tcW w:w="294"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260"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43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数量指标</w:t>
            </w:r>
          </w:p>
        </w:tc>
        <w:tc>
          <w:tcPr>
            <w:tcW w:w="67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技能鉴定等级人次数</w:t>
            </w:r>
          </w:p>
        </w:tc>
        <w:tc>
          <w:tcPr>
            <w:tcW w:w="42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&gt;=2000人次</w:t>
            </w:r>
          </w:p>
        </w:tc>
        <w:tc>
          <w:tcPr>
            <w:tcW w:w="32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计划标准</w:t>
            </w:r>
          </w:p>
        </w:tc>
        <w:tc>
          <w:tcPr>
            <w:tcW w:w="23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w:t>
            </w:r>
          </w:p>
        </w:tc>
        <w:tc>
          <w:tcPr>
            <w:tcW w:w="22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8</w:t>
            </w:r>
          </w:p>
        </w:tc>
        <w:tc>
          <w:tcPr>
            <w:tcW w:w="46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按照正常比例赋分</w:t>
            </w:r>
          </w:p>
        </w:tc>
        <w:tc>
          <w:tcPr>
            <w:tcW w:w="35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工作资料</w:t>
            </w:r>
          </w:p>
        </w:tc>
        <w:tc>
          <w:tcPr>
            <w:tcW w:w="35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=2001人次</w:t>
            </w:r>
          </w:p>
        </w:tc>
        <w:tc>
          <w:tcPr>
            <w:tcW w:w="29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100%</w:t>
            </w:r>
          </w:p>
        </w:tc>
        <w:tc>
          <w:tcPr>
            <w:tcW w:w="32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8</w:t>
            </w:r>
          </w:p>
        </w:tc>
        <w:tc>
          <w:tcPr>
            <w:tcW w:w="32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r>
      <w:tr>
        <w:tblPrEx>
          <w:tblW w:w="5817" w:type="pct"/>
          <w:tblInd w:w="-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trPr>
        <w:tc>
          <w:tcPr>
            <w:tcW w:w="294"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260"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43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质量指标</w:t>
            </w:r>
          </w:p>
        </w:tc>
        <w:tc>
          <w:tcPr>
            <w:tcW w:w="67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学员培训合格率</w:t>
            </w:r>
          </w:p>
        </w:tc>
        <w:tc>
          <w:tcPr>
            <w:tcW w:w="42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&gt;=80%</w:t>
            </w:r>
          </w:p>
        </w:tc>
        <w:tc>
          <w:tcPr>
            <w:tcW w:w="32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计划标准</w:t>
            </w:r>
          </w:p>
        </w:tc>
        <w:tc>
          <w:tcPr>
            <w:tcW w:w="23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w:t>
            </w:r>
          </w:p>
        </w:tc>
        <w:tc>
          <w:tcPr>
            <w:tcW w:w="22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8</w:t>
            </w:r>
          </w:p>
        </w:tc>
        <w:tc>
          <w:tcPr>
            <w:tcW w:w="46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按照正常比例赋分</w:t>
            </w:r>
          </w:p>
        </w:tc>
        <w:tc>
          <w:tcPr>
            <w:tcW w:w="35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工作资料</w:t>
            </w:r>
          </w:p>
        </w:tc>
        <w:tc>
          <w:tcPr>
            <w:tcW w:w="35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=80%</w:t>
            </w:r>
          </w:p>
        </w:tc>
        <w:tc>
          <w:tcPr>
            <w:tcW w:w="29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100%</w:t>
            </w:r>
          </w:p>
        </w:tc>
        <w:tc>
          <w:tcPr>
            <w:tcW w:w="32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8</w:t>
            </w:r>
          </w:p>
        </w:tc>
        <w:tc>
          <w:tcPr>
            <w:tcW w:w="32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r>
      <w:tr>
        <w:tblPrEx>
          <w:tblW w:w="5817" w:type="pct"/>
          <w:tblInd w:w="-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trPr>
        <w:tc>
          <w:tcPr>
            <w:tcW w:w="294"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260"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43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时效指标</w:t>
            </w:r>
          </w:p>
        </w:tc>
        <w:tc>
          <w:tcPr>
            <w:tcW w:w="67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培训任务完成及时率</w:t>
            </w:r>
          </w:p>
        </w:tc>
        <w:tc>
          <w:tcPr>
            <w:tcW w:w="42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=100%</w:t>
            </w:r>
          </w:p>
        </w:tc>
        <w:tc>
          <w:tcPr>
            <w:tcW w:w="32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计划标准</w:t>
            </w:r>
          </w:p>
        </w:tc>
        <w:tc>
          <w:tcPr>
            <w:tcW w:w="23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w:t>
            </w:r>
          </w:p>
        </w:tc>
        <w:tc>
          <w:tcPr>
            <w:tcW w:w="22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8</w:t>
            </w:r>
          </w:p>
        </w:tc>
        <w:tc>
          <w:tcPr>
            <w:tcW w:w="46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按照正常比例赋分</w:t>
            </w:r>
          </w:p>
        </w:tc>
        <w:tc>
          <w:tcPr>
            <w:tcW w:w="35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工作资料</w:t>
            </w:r>
          </w:p>
        </w:tc>
        <w:tc>
          <w:tcPr>
            <w:tcW w:w="35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=100%</w:t>
            </w:r>
          </w:p>
        </w:tc>
        <w:tc>
          <w:tcPr>
            <w:tcW w:w="29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100%</w:t>
            </w:r>
          </w:p>
        </w:tc>
        <w:tc>
          <w:tcPr>
            <w:tcW w:w="32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8</w:t>
            </w:r>
          </w:p>
        </w:tc>
        <w:tc>
          <w:tcPr>
            <w:tcW w:w="32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r>
      <w:tr>
        <w:tblPrEx>
          <w:tblW w:w="5817" w:type="pct"/>
          <w:tblInd w:w="-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trPr>
        <w:tc>
          <w:tcPr>
            <w:tcW w:w="294"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260"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成本指标</w:t>
            </w:r>
          </w:p>
        </w:tc>
        <w:tc>
          <w:tcPr>
            <w:tcW w:w="43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经济成本指标</w:t>
            </w:r>
          </w:p>
        </w:tc>
        <w:tc>
          <w:tcPr>
            <w:tcW w:w="67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外聘教师工资成本</w:t>
            </w:r>
          </w:p>
        </w:tc>
        <w:tc>
          <w:tcPr>
            <w:tcW w:w="42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&lt;=94.38万元</w:t>
            </w:r>
          </w:p>
        </w:tc>
        <w:tc>
          <w:tcPr>
            <w:tcW w:w="32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计划标准</w:t>
            </w:r>
          </w:p>
        </w:tc>
        <w:tc>
          <w:tcPr>
            <w:tcW w:w="23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w:t>
            </w:r>
          </w:p>
        </w:tc>
        <w:tc>
          <w:tcPr>
            <w:tcW w:w="22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7</w:t>
            </w:r>
          </w:p>
        </w:tc>
        <w:tc>
          <w:tcPr>
            <w:tcW w:w="46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按照正常比例赋分</w:t>
            </w:r>
          </w:p>
        </w:tc>
        <w:tc>
          <w:tcPr>
            <w:tcW w:w="35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原始凭证</w:t>
            </w:r>
          </w:p>
        </w:tc>
        <w:tc>
          <w:tcPr>
            <w:tcW w:w="35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=94.38万元</w:t>
            </w:r>
          </w:p>
        </w:tc>
        <w:tc>
          <w:tcPr>
            <w:tcW w:w="29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100%</w:t>
            </w:r>
          </w:p>
        </w:tc>
        <w:tc>
          <w:tcPr>
            <w:tcW w:w="32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7</w:t>
            </w:r>
          </w:p>
        </w:tc>
        <w:tc>
          <w:tcPr>
            <w:tcW w:w="32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r>
      <w:tr>
        <w:tblPrEx>
          <w:tblW w:w="5817" w:type="pct"/>
          <w:tblInd w:w="-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trPr>
        <w:tc>
          <w:tcPr>
            <w:tcW w:w="294"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260"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43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经济成本指标</w:t>
            </w:r>
          </w:p>
        </w:tc>
        <w:tc>
          <w:tcPr>
            <w:tcW w:w="67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培训费用成本</w:t>
            </w:r>
          </w:p>
        </w:tc>
        <w:tc>
          <w:tcPr>
            <w:tcW w:w="42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&lt;=134.67万元</w:t>
            </w:r>
          </w:p>
        </w:tc>
        <w:tc>
          <w:tcPr>
            <w:tcW w:w="32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计划标准</w:t>
            </w:r>
          </w:p>
        </w:tc>
        <w:tc>
          <w:tcPr>
            <w:tcW w:w="23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w:t>
            </w:r>
          </w:p>
        </w:tc>
        <w:tc>
          <w:tcPr>
            <w:tcW w:w="22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7</w:t>
            </w:r>
          </w:p>
        </w:tc>
        <w:tc>
          <w:tcPr>
            <w:tcW w:w="46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按照正常比例赋分</w:t>
            </w:r>
          </w:p>
        </w:tc>
        <w:tc>
          <w:tcPr>
            <w:tcW w:w="35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原始凭证</w:t>
            </w:r>
          </w:p>
        </w:tc>
        <w:tc>
          <w:tcPr>
            <w:tcW w:w="35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=134.67万元</w:t>
            </w:r>
          </w:p>
        </w:tc>
        <w:tc>
          <w:tcPr>
            <w:tcW w:w="29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100%</w:t>
            </w:r>
          </w:p>
        </w:tc>
        <w:tc>
          <w:tcPr>
            <w:tcW w:w="32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7</w:t>
            </w:r>
          </w:p>
        </w:tc>
        <w:tc>
          <w:tcPr>
            <w:tcW w:w="32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r>
      <w:tr>
        <w:tblPrEx>
          <w:tblW w:w="5817" w:type="pct"/>
          <w:tblInd w:w="-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trPr>
        <w:tc>
          <w:tcPr>
            <w:tcW w:w="294"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260"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43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经济成本指标</w:t>
            </w:r>
          </w:p>
        </w:tc>
        <w:tc>
          <w:tcPr>
            <w:tcW w:w="67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水电、维修维护等成本</w:t>
            </w:r>
          </w:p>
        </w:tc>
        <w:tc>
          <w:tcPr>
            <w:tcW w:w="42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&lt;=60.16万元</w:t>
            </w:r>
          </w:p>
        </w:tc>
        <w:tc>
          <w:tcPr>
            <w:tcW w:w="32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计划标准</w:t>
            </w:r>
          </w:p>
        </w:tc>
        <w:tc>
          <w:tcPr>
            <w:tcW w:w="23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w:t>
            </w:r>
          </w:p>
        </w:tc>
        <w:tc>
          <w:tcPr>
            <w:tcW w:w="22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6</w:t>
            </w:r>
          </w:p>
        </w:tc>
        <w:tc>
          <w:tcPr>
            <w:tcW w:w="46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按照正常比例赋分</w:t>
            </w:r>
          </w:p>
        </w:tc>
        <w:tc>
          <w:tcPr>
            <w:tcW w:w="35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原始凭证</w:t>
            </w:r>
          </w:p>
        </w:tc>
        <w:tc>
          <w:tcPr>
            <w:tcW w:w="35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=60.16万元</w:t>
            </w:r>
          </w:p>
        </w:tc>
        <w:tc>
          <w:tcPr>
            <w:tcW w:w="29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100%</w:t>
            </w:r>
          </w:p>
        </w:tc>
        <w:tc>
          <w:tcPr>
            <w:tcW w:w="32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6</w:t>
            </w:r>
          </w:p>
        </w:tc>
        <w:tc>
          <w:tcPr>
            <w:tcW w:w="32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r>
      <w:tr>
        <w:tblPrEx>
          <w:tblW w:w="5817" w:type="pct"/>
          <w:tblInd w:w="-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trPr>
        <w:tc>
          <w:tcPr>
            <w:tcW w:w="294"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2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效益指标</w:t>
            </w:r>
          </w:p>
        </w:tc>
        <w:tc>
          <w:tcPr>
            <w:tcW w:w="43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社会效益指标</w:t>
            </w:r>
          </w:p>
        </w:tc>
        <w:tc>
          <w:tcPr>
            <w:tcW w:w="67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提升职业技术教育水平</w:t>
            </w:r>
          </w:p>
        </w:tc>
        <w:tc>
          <w:tcPr>
            <w:tcW w:w="42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有效提升</w:t>
            </w:r>
          </w:p>
        </w:tc>
        <w:tc>
          <w:tcPr>
            <w:tcW w:w="32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计划标准</w:t>
            </w:r>
          </w:p>
        </w:tc>
        <w:tc>
          <w:tcPr>
            <w:tcW w:w="23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w:t>
            </w:r>
          </w:p>
        </w:tc>
        <w:tc>
          <w:tcPr>
            <w:tcW w:w="22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20</w:t>
            </w:r>
          </w:p>
        </w:tc>
        <w:tc>
          <w:tcPr>
            <w:tcW w:w="46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按评判等级赋分</w:t>
            </w:r>
          </w:p>
        </w:tc>
        <w:tc>
          <w:tcPr>
            <w:tcW w:w="35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工作资料</w:t>
            </w:r>
          </w:p>
        </w:tc>
        <w:tc>
          <w:tcPr>
            <w:tcW w:w="35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有效提升</w:t>
            </w:r>
          </w:p>
        </w:tc>
        <w:tc>
          <w:tcPr>
            <w:tcW w:w="29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100%</w:t>
            </w:r>
          </w:p>
        </w:tc>
        <w:tc>
          <w:tcPr>
            <w:tcW w:w="32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20</w:t>
            </w:r>
          </w:p>
        </w:tc>
        <w:tc>
          <w:tcPr>
            <w:tcW w:w="32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r>
      <w:tr>
        <w:tblPrEx>
          <w:tblW w:w="5817" w:type="pct"/>
          <w:tblInd w:w="-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trPr>
        <w:tc>
          <w:tcPr>
            <w:tcW w:w="294"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2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满意度指标</w:t>
            </w:r>
          </w:p>
        </w:tc>
        <w:tc>
          <w:tcPr>
            <w:tcW w:w="43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满意度指标</w:t>
            </w:r>
          </w:p>
        </w:tc>
        <w:tc>
          <w:tcPr>
            <w:tcW w:w="67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学员满意度</w:t>
            </w:r>
          </w:p>
        </w:tc>
        <w:tc>
          <w:tcPr>
            <w:tcW w:w="42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&gt;=95%</w:t>
            </w:r>
          </w:p>
        </w:tc>
        <w:tc>
          <w:tcPr>
            <w:tcW w:w="32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计划标准</w:t>
            </w:r>
          </w:p>
        </w:tc>
        <w:tc>
          <w:tcPr>
            <w:tcW w:w="23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w:t>
            </w:r>
          </w:p>
        </w:tc>
        <w:tc>
          <w:tcPr>
            <w:tcW w:w="22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10</w:t>
            </w:r>
          </w:p>
        </w:tc>
        <w:tc>
          <w:tcPr>
            <w:tcW w:w="46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满意度赋分</w:t>
            </w:r>
          </w:p>
        </w:tc>
        <w:tc>
          <w:tcPr>
            <w:tcW w:w="35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工作资料</w:t>
            </w:r>
          </w:p>
        </w:tc>
        <w:tc>
          <w:tcPr>
            <w:tcW w:w="35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=95%</w:t>
            </w:r>
          </w:p>
        </w:tc>
        <w:tc>
          <w:tcPr>
            <w:tcW w:w="29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100%</w:t>
            </w:r>
          </w:p>
        </w:tc>
        <w:tc>
          <w:tcPr>
            <w:tcW w:w="32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10</w:t>
            </w:r>
          </w:p>
        </w:tc>
        <w:tc>
          <w:tcPr>
            <w:tcW w:w="32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r>
      <w:tr>
        <w:tblPrEx>
          <w:tblW w:w="5817" w:type="pct"/>
          <w:tblInd w:w="-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500"/>
        </w:trPr>
        <w:tc>
          <w:tcPr>
            <w:tcW w:w="1661" w:type="pct"/>
            <w:gridSpan w:val="4"/>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总分</w:t>
            </w:r>
          </w:p>
        </w:tc>
        <w:tc>
          <w:tcPr>
            <w:tcW w:w="42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32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23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22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46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35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35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29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32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100.00分</w:t>
            </w:r>
          </w:p>
        </w:tc>
        <w:tc>
          <w:tcPr>
            <w:tcW w:w="32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r>
    </w:tbl>
    <w:p>
      <w:pPr>
        <w:pStyle w:val="Heading3"/>
        <w:ind w:left="0" w:firstLine="0" w:leftChars="0" w:firstLineChars="0"/>
        <w:jc w:val="both"/>
        <w:outlineLvl w:val="9"/>
        <w:rPr>
          <w:rFonts w:ascii="Times New Roman" w:eastAsia="仿宋_GB2312" w:hAnsi="Times New Roman" w:cs="Times New Roman" w:hint="default"/>
          <w:color w:val="auto"/>
          <w:highlight w:val="none"/>
        </w:rPr>
        <w:sectPr>
          <w:footerReference w:type="default" r:id="rId4"/>
          <w:pgSz w:w="11906" w:h="16838" w:orient="portrait"/>
          <w:pgMar w:top="1440" w:right="1800" w:bottom="1440" w:left="1800" w:header="851" w:footer="992" w:gutter="0"/>
          <w:pgBorders/>
          <w:pgNumType w:fmt="decimal" w:start="1"/>
          <w:cols w:num="1" w:space="720">
            <w:col w:w="8306" w:space="720"/>
          </w:cols>
          <w:docGrid w:type="lines" w:linePitch="312" w:charSpace="0"/>
        </w:sectPr>
      </w:pPr>
    </w:p>
    <w:p>
      <w:pPr>
        <w:pStyle w:val="Heading2"/>
        <w:bidi w:val="0"/>
        <w:jc w:val="both"/>
        <w:outlineLvl w:val="0"/>
        <w:rPr>
          <w:rFonts w:ascii="Times New Roman" w:eastAsia="仿宋_GB2312" w:hAnsi="Times New Roman" w:cs="Times New Roman" w:hint="default"/>
          <w:color w:val="auto"/>
          <w:highlight w:val="none"/>
        </w:rPr>
      </w:pPr>
      <w:bookmarkStart w:id="213" w:name="_Toc29757"/>
      <w:bookmarkStart w:id="214" w:name="_Toc17355"/>
      <w:bookmarkStart w:id="215" w:name="_Toc31300"/>
      <w:r>
        <w:rPr>
          <w:rFonts w:ascii="Times New Roman" w:eastAsia="仿宋_GB2312" w:hAnsi="Times New Roman" w:cs="Times New Roman" w:hint="default"/>
          <w:color w:val="auto"/>
          <w:highlight w:val="none"/>
        </w:rPr>
        <w:t xml:space="preserve">附件2：</w:t>
      </w:r>
      <w:bookmarkEnd w:id="208"/>
      <w:bookmarkEnd w:id="209"/>
      <w:bookmarkEnd w:id="210"/>
      <w:bookmarkEnd w:id="211"/>
      <w:bookmarkEnd w:id="213"/>
      <w:bookmarkEnd w:id="214"/>
      <w:bookmarkEnd w:id="215"/>
    </w:p>
    <w:p>
      <w:pPr>
        <w:pStyle w:val="表格标题"/>
        <w:bidi w:val="0"/>
        <w:jc w:val="center"/>
        <w:rPr>
          <w:rFonts w:ascii="Times New Roman" w:eastAsia="仿宋_GB2312" w:hAnsi="Times New Roman" w:cs="Times New Roman" w:hint="default"/>
          <w:color w:val="auto"/>
          <w:highlight w:val="none"/>
        </w:rPr>
      </w:pPr>
      <w:bookmarkStart w:id="216" w:name="_Toc29561"/>
      <w:bookmarkStart w:id="217" w:name="_Toc28172"/>
      <w:bookmarkStart w:id="218" w:name="_Toc2706"/>
      <w:r>
        <w:rPr>
          <w:rFonts w:ascii="Times New Roman" w:eastAsia="仿宋_GB2312" w:hAnsi="Times New Roman" w:cs="Times New Roman" w:hint="default"/>
          <w:color w:val="auto"/>
          <w:highlight w:val="none"/>
        </w:rPr>
        <w:t xml:space="preserve">项目支出绩效评价指标体系及评分</w:t>
      </w:r>
      <w:bookmarkEnd w:id="216"/>
      <w:bookmarkEnd w:id="217"/>
      <w:bookmarkEnd w:id="218"/>
    </w:p>
    <w:tbl>
      <w:tblPr>
        <w:tblStyle w:val="NormalTable"/>
        <w:tblW w:w="5674" w:type="pct"/>
        <w:tblInd w:w="0" w:type="dxa"/>
        <w:tblLayout w:type="fixed"/>
        <w:tblCellMar>
          <w:top w:w="0" w:type="dxa"/>
          <w:left w:w="108" w:type="dxa"/>
          <w:bottom w:w="0" w:type="dxa"/>
          <w:right w:w="108" w:type="dxa"/>
        </w:tblCellMar>
        <w:tblLook w:firstRow="0" w:lastRow="0" w:firstColumn="0" w:lastColumn="0" w:noHBand="1" w:noVBand="1"/>
      </w:tblPr>
      <w:tblGrid>
        <w:gridCol w:w="592"/>
        <w:gridCol w:w="669"/>
        <w:gridCol w:w="816"/>
        <w:gridCol w:w="2173"/>
        <w:gridCol w:w="4183"/>
        <w:gridCol w:w="613"/>
        <w:gridCol w:w="625"/>
      </w:tblGrid>
      <w:tr>
        <w:tblPrEx>
          <w:tblW w:w="5674" w:type="pct"/>
          <w:tblInd w:w="0" w:type="dxa"/>
          <w:tblLayout w:type="fixed"/>
          <w:tblCellMar>
            <w:top w:w="0" w:type="dxa"/>
            <w:left w:w="108" w:type="dxa"/>
            <w:bottom w:w="0" w:type="dxa"/>
            <w:right w:w="108" w:type="dxa"/>
          </w:tblCellMar>
        </w:tblPrEx>
        <w:trPr>
          <w:trHeight w:val="460"/>
        </w:trPr>
        <w:tc>
          <w:tcPr>
            <w:tcW w:w="30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一级</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指标</w:t>
            </w:r>
          </w:p>
        </w:tc>
        <w:tc>
          <w:tcPr>
            <w:tcW w:w="34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二级指标</w:t>
            </w:r>
          </w:p>
        </w:tc>
        <w:tc>
          <w:tcPr>
            <w:tcW w:w="4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三级</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指标</w:t>
            </w:r>
          </w:p>
        </w:tc>
        <w:tc>
          <w:tcPr>
            <w:tcW w:w="1123" w:type="pc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指标解释</w:t>
            </w:r>
          </w:p>
        </w:tc>
        <w:tc>
          <w:tcPr>
            <w:tcW w:w="21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指标说明</w:t>
            </w:r>
          </w:p>
        </w:tc>
        <w:tc>
          <w:tcPr>
            <w:tcW w:w="31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分值</w:t>
            </w:r>
          </w:p>
        </w:tc>
        <w:tc>
          <w:tcPr>
            <w:tcW w:w="32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得分</w:t>
            </w:r>
          </w:p>
        </w:tc>
      </w:tr>
      <w:tr>
        <w:tblPrEx>
          <w:tblW w:w="5674" w:type="pct"/>
          <w:tblInd w:w="0" w:type="dxa"/>
          <w:tblLayout w:type="fixed"/>
          <w:tblCellMar>
            <w:top w:w="0" w:type="dxa"/>
            <w:left w:w="108" w:type="dxa"/>
            <w:bottom w:w="0" w:type="dxa"/>
            <w:right w:w="108" w:type="dxa"/>
          </w:tblCellMar>
        </w:tblPrEx>
        <w:trPr>
          <w:trHeight w:val="90"/>
        </w:trPr>
        <w:tc>
          <w:tcPr>
            <w:tcW w:w="30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决策</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eastAsia"/>
                <w:color w:val="auto"/>
                <w:sz w:val="18"/>
                <w:szCs w:val="18"/>
                <w:highlight w:val="none"/>
                <w:lang w:eastAsia="zh-CN"/>
              </w:rPr>
            </w:pPr>
            <w:r>
              <w:rPr>
                <w:rFonts w:ascii="Times New Roman" w:eastAsia="仿宋_GB2312" w:hAnsi="Times New Roman" w:cs="Times New Roman" w:hint="default"/>
                <w:color w:val="auto"/>
                <w:sz w:val="18"/>
                <w:szCs w:val="18"/>
                <w:highlight w:val="none"/>
              </w:rPr>
              <w:t xml:space="preserve">项目</w:t>
            </w:r>
            <w:r>
              <w:rPr>
                <w:rFonts w:cs="Times New Roman" w:hint="eastAsia"/>
                <w:color w:val="auto"/>
                <w:sz w:val="18"/>
                <w:szCs w:val="18"/>
                <w:highlight w:val="none"/>
                <w:lang w:eastAsia="zh-CN"/>
              </w:rPr>
              <w:t xml:space="preserve">实施</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依据充分性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w:t>
            </w:r>
            <w:r>
              <w:rPr>
                <w:rFonts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是否符合法律法规、相关政策、发展规划以及部门职责，用以反映和考核项目</w:t>
            </w:r>
            <w:r>
              <w:rPr>
                <w:rFonts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依据情况。</w:t>
            </w: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r>
      <w:tr>
        <w:tblPrEx>
          <w:tblW w:w="5674" w:type="pct"/>
          <w:tblInd w:w="0" w:type="dxa"/>
          <w:tblLayout w:type="fixed"/>
          <w:tblCellMar>
            <w:top w:w="0" w:type="dxa"/>
            <w:left w:w="108" w:type="dxa"/>
            <w:bottom w:w="0" w:type="dxa"/>
            <w:right w:w="108" w:type="dxa"/>
          </w:tblCellMar>
        </w:tblPrEx>
        <w:trPr>
          <w:trHeight w:val="460"/>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①项目</w:t>
            </w:r>
            <w:r>
              <w:rPr>
                <w:rFonts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是否符合国家法律法规、国民经济发展规划和相关政策；</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Ind w:w="0" w:type="dxa"/>
          <w:tblLayout w:type="fixed"/>
          <w:tblCellMar>
            <w:top w:w="0" w:type="dxa"/>
            <w:left w:w="108" w:type="dxa"/>
            <w:bottom w:w="0" w:type="dxa"/>
            <w:right w:w="108" w:type="dxa"/>
          </w:tblCellMar>
        </w:tblPrEx>
        <w:trPr>
          <w:trHeight w:val="90"/>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②项目</w:t>
            </w:r>
            <w:r>
              <w:rPr>
                <w:rFonts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是否符合行业发展规划和政策要求；</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Ind w:w="0" w:type="dxa"/>
          <w:tblLayout w:type="fixed"/>
          <w:tblCellMar>
            <w:top w:w="0" w:type="dxa"/>
            <w:left w:w="108" w:type="dxa"/>
            <w:bottom w:w="0" w:type="dxa"/>
            <w:right w:w="108" w:type="dxa"/>
          </w:tblCellMar>
        </w:tblPrEx>
        <w:trPr>
          <w:trHeight w:val="460"/>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③项目</w:t>
            </w:r>
            <w:r>
              <w:rPr>
                <w:rFonts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是否与部门职责范围相符，属于部门履职所需；</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Ind w:w="0" w:type="dxa"/>
          <w:tblLayout w:type="fixed"/>
          <w:tblCellMar>
            <w:top w:w="0" w:type="dxa"/>
            <w:left w:w="108" w:type="dxa"/>
            <w:bottom w:w="0" w:type="dxa"/>
            <w:right w:w="108" w:type="dxa"/>
          </w:tblCellMar>
        </w:tblPrEx>
        <w:trPr>
          <w:trHeight w:val="460"/>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④项目是否属于公共财政支持范围，是否符合中央、地方事权支出责任划分原则；</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Ind w:w="0" w:type="dxa"/>
          <w:tblLayout w:type="fixed"/>
          <w:tblCellMar>
            <w:top w:w="0" w:type="dxa"/>
            <w:left w:w="108" w:type="dxa"/>
            <w:bottom w:w="0" w:type="dxa"/>
            <w:right w:w="108" w:type="dxa"/>
          </w:tblCellMar>
        </w:tblPrEx>
        <w:trPr>
          <w:trHeight w:val="460"/>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⑤项目是否与相关部门同类项目或部门内部相关项目重复。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Ind w:w="0" w:type="dxa"/>
          <w:tblLayout w:type="fixed"/>
          <w:tblCellMar>
            <w:top w:w="0" w:type="dxa"/>
            <w:left w:w="108" w:type="dxa"/>
            <w:bottom w:w="0" w:type="dxa"/>
            <w:right w:w="108" w:type="dxa"/>
          </w:tblCellMar>
        </w:tblPrEx>
        <w:trPr>
          <w:trHeight w:val="131"/>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程序规范性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项目申请、设立过程是否符合相关要求，用以反映和考核项目</w:t>
            </w:r>
            <w:r>
              <w:rPr>
                <w:rFonts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的规范情况。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r>
      <w:tr>
        <w:tblPrEx>
          <w:tblW w:w="5674" w:type="pct"/>
          <w:tblInd w:w="0" w:type="dxa"/>
          <w:tblLayout w:type="fixed"/>
          <w:tblCellMar>
            <w:top w:w="0" w:type="dxa"/>
            <w:left w:w="108" w:type="dxa"/>
            <w:bottom w:w="0" w:type="dxa"/>
            <w:right w:w="108" w:type="dxa"/>
          </w:tblCellMar>
        </w:tblPrEx>
        <w:trPr>
          <w:trHeight w:val="107"/>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①项目是否按照规定的程序申请设立；</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Ind w:w="0" w:type="dxa"/>
          <w:tblLayout w:type="fixed"/>
          <w:tblCellMar>
            <w:top w:w="0" w:type="dxa"/>
            <w:left w:w="108" w:type="dxa"/>
            <w:bottom w:w="0" w:type="dxa"/>
            <w:right w:w="108" w:type="dxa"/>
          </w:tblCellMar>
        </w:tblPrEx>
        <w:trPr>
          <w:trHeight w:val="254"/>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②审批文件、材料是否符合相关要求；</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Ind w:w="0" w:type="dxa"/>
          <w:tblLayout w:type="fixed"/>
          <w:tblCellMar>
            <w:top w:w="0" w:type="dxa"/>
            <w:left w:w="108" w:type="dxa"/>
            <w:bottom w:w="0" w:type="dxa"/>
            <w:right w:w="108" w:type="dxa"/>
          </w:tblCellMar>
        </w:tblPrEx>
        <w:trPr>
          <w:trHeight w:val="221"/>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绩效目标</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绩效目标合理性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项目所设定的绩效目标是否依据充分，是否符合客观实际，用以反映和考核项目绩效目标与项目实施的相符情况。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r>
      <w:tr>
        <w:tblPrEx>
          <w:tblW w:w="5674" w:type="pct"/>
          <w:tblInd w:w="0" w:type="dxa"/>
          <w:tblLayout w:type="fixed"/>
          <w:tblCellMar>
            <w:top w:w="0" w:type="dxa"/>
            <w:left w:w="108" w:type="dxa"/>
            <w:bottom w:w="0" w:type="dxa"/>
            <w:right w:w="108" w:type="dxa"/>
          </w:tblCellMar>
        </w:tblPrEx>
        <w:trPr>
          <w:trHeight w:val="152"/>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①项目是否有绩效目标；</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Ind w:w="0" w:type="dxa"/>
          <w:tblLayout w:type="fixed"/>
          <w:tblCellMar>
            <w:top w:w="0" w:type="dxa"/>
            <w:left w:w="108" w:type="dxa"/>
            <w:bottom w:w="0" w:type="dxa"/>
            <w:right w:w="108" w:type="dxa"/>
          </w:tblCellMar>
        </w:tblPrEx>
        <w:trPr>
          <w:trHeight w:val="198"/>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②项目绩效目标与实际工作内容是否具有相关性；</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Ind w:w="0" w:type="dxa"/>
          <w:tblLayout w:type="fixed"/>
          <w:tblCellMar>
            <w:top w:w="0" w:type="dxa"/>
            <w:left w:w="108" w:type="dxa"/>
            <w:bottom w:w="0" w:type="dxa"/>
            <w:right w:w="108" w:type="dxa"/>
          </w:tblCellMar>
        </w:tblPrEx>
        <w:trPr>
          <w:trHeight w:val="460"/>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③项目预期产出效益和效果是否符合正常的业绩水平；</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Ind w:w="0" w:type="dxa"/>
          <w:tblLayout w:type="fixed"/>
          <w:tblCellMar>
            <w:top w:w="0" w:type="dxa"/>
            <w:left w:w="108" w:type="dxa"/>
            <w:bottom w:w="0" w:type="dxa"/>
            <w:right w:w="108" w:type="dxa"/>
          </w:tblCellMar>
        </w:tblPrEx>
        <w:trPr>
          <w:trHeight w:val="153"/>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④是否与预算确定的项目投资额或资金量相匹配。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Ind w:w="0" w:type="dxa"/>
          <w:tblLayout w:type="fixed"/>
          <w:tblCellMar>
            <w:top w:w="0" w:type="dxa"/>
            <w:left w:w="108" w:type="dxa"/>
            <w:bottom w:w="0" w:type="dxa"/>
            <w:right w:w="108" w:type="dxa"/>
          </w:tblCellMar>
        </w:tblPrEx>
        <w:trPr>
          <w:trHeight w:val="90"/>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绩效指标明确性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依据绩效目标设定的绩效指标是否清晰、细化、可衡量等，用以反映和考核项目绩效目标的明细化情况。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r>
      <w:tr>
        <w:tblPrEx>
          <w:tblW w:w="5674" w:type="pct"/>
          <w:tblInd w:w="0" w:type="dxa"/>
          <w:tblLayout w:type="fixed"/>
          <w:tblCellMar>
            <w:top w:w="0" w:type="dxa"/>
            <w:left w:w="108" w:type="dxa"/>
            <w:bottom w:w="0" w:type="dxa"/>
            <w:right w:w="108" w:type="dxa"/>
          </w:tblCellMar>
        </w:tblPrEx>
        <w:trPr>
          <w:trHeight w:val="460"/>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①是否将项目绩效目标细化分解为具体的绩效指标；</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Ind w:w="0" w:type="dxa"/>
          <w:tblLayout w:type="fixed"/>
          <w:tblCellMar>
            <w:top w:w="0" w:type="dxa"/>
            <w:left w:w="108" w:type="dxa"/>
            <w:bottom w:w="0" w:type="dxa"/>
            <w:right w:w="108" w:type="dxa"/>
          </w:tblCellMar>
        </w:tblPrEx>
        <w:trPr>
          <w:trHeight w:val="140"/>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②是否通过清晰、可衡量的指标值予以体现；</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Ind w:w="0" w:type="dxa"/>
          <w:tblLayout w:type="fixed"/>
          <w:tblCellMar>
            <w:top w:w="0" w:type="dxa"/>
            <w:left w:w="108" w:type="dxa"/>
            <w:bottom w:w="0" w:type="dxa"/>
            <w:right w:w="108" w:type="dxa"/>
          </w:tblCellMar>
        </w:tblPrEx>
        <w:trPr>
          <w:trHeight w:val="131"/>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③是否与项目目标任务数或计划数相对应。</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Ind w:w="0" w:type="dxa"/>
          <w:tblLayout w:type="fixed"/>
          <w:tblCellMar>
            <w:top w:w="0" w:type="dxa"/>
            <w:left w:w="108" w:type="dxa"/>
            <w:bottom w:w="0" w:type="dxa"/>
            <w:right w:w="108" w:type="dxa"/>
          </w:tblCellMar>
        </w:tblPrEx>
        <w:trPr>
          <w:trHeight w:val="97"/>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资金投入</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预算编制科学性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项目预算编制是否经过科学论证、有明确标准，资金额度与年度目标是否相适应，用以反映和考核项目预算编制的科学性、合理性情况。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lang w:val="en-US" w:eastAsia="zh-CN"/>
              </w:rPr>
            </w:pPr>
            <w:r>
              <w:rPr>
                <w:rFonts w:cs="Times New Roman" w:hint="eastAsia"/>
                <w:color w:val="auto"/>
                <w:sz w:val="18"/>
                <w:szCs w:val="18"/>
                <w:highlight w:val="none"/>
                <w:lang w:val="en-US" w:eastAsia="zh-CN"/>
              </w:rPr>
              <w:t xml:space="preserve">3.5</w:t>
            </w:r>
          </w:p>
        </w:tc>
      </w:tr>
      <w:tr>
        <w:tblPrEx>
          <w:tblW w:w="5674" w:type="pct"/>
          <w:tblInd w:w="0" w:type="dxa"/>
          <w:tblLayout w:type="fixed"/>
          <w:tblCellMar>
            <w:top w:w="0" w:type="dxa"/>
            <w:left w:w="108" w:type="dxa"/>
            <w:bottom w:w="0" w:type="dxa"/>
            <w:right w:w="108" w:type="dxa"/>
          </w:tblCellMar>
        </w:tblPrEx>
        <w:trPr>
          <w:trHeight w:val="90"/>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①预算编制是否经过科学论证；</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Ind w:w="0" w:type="dxa"/>
          <w:tblLayout w:type="fixed"/>
          <w:tblCellMar>
            <w:top w:w="0" w:type="dxa"/>
            <w:left w:w="108" w:type="dxa"/>
            <w:bottom w:w="0" w:type="dxa"/>
            <w:right w:w="108" w:type="dxa"/>
          </w:tblCellMar>
        </w:tblPrEx>
        <w:trPr>
          <w:trHeight w:val="90"/>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②预算内容与项目内容是否匹配；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Ind w:w="0" w:type="dxa"/>
          <w:tblLayout w:type="fixed"/>
          <w:tblCellMar>
            <w:top w:w="0" w:type="dxa"/>
            <w:left w:w="108" w:type="dxa"/>
            <w:bottom w:w="0" w:type="dxa"/>
            <w:right w:w="108" w:type="dxa"/>
          </w:tblCellMar>
        </w:tblPrEx>
        <w:trPr>
          <w:trHeight w:val="90"/>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③预算额度测算依据是否充分，是否按照标准编制；</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Ind w:w="0" w:type="dxa"/>
          <w:tblLayout w:type="fixed"/>
          <w:tblCellMar>
            <w:top w:w="0" w:type="dxa"/>
            <w:left w:w="108" w:type="dxa"/>
            <w:bottom w:w="0" w:type="dxa"/>
            <w:right w:w="108" w:type="dxa"/>
          </w:tblCellMar>
        </w:tblPrEx>
        <w:trPr>
          <w:trHeight w:val="460"/>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④预算确定的项目投资额或资金量是否与工作任务相匹配。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Ind w:w="0" w:type="dxa"/>
          <w:tblLayout w:type="fixed"/>
          <w:tblCellMar>
            <w:top w:w="0" w:type="dxa"/>
            <w:left w:w="108" w:type="dxa"/>
            <w:bottom w:w="0" w:type="dxa"/>
            <w:right w:w="108" w:type="dxa"/>
          </w:tblCellMar>
        </w:tblPrEx>
        <w:trPr>
          <w:trHeight w:val="176"/>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资金分配合理性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项目预算资金分配是否有测算依据，与补助单位或地方实际是否相适应，用以反映和考核项目预算资金分配的科学性、合理性情况。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r>
      <w:tr>
        <w:tblPrEx>
          <w:tblW w:w="5674" w:type="pct"/>
          <w:tblInd w:w="0" w:type="dxa"/>
          <w:tblLayout w:type="fixed"/>
          <w:tblCellMar>
            <w:top w:w="0" w:type="dxa"/>
            <w:left w:w="108" w:type="dxa"/>
            <w:bottom w:w="0" w:type="dxa"/>
            <w:right w:w="108" w:type="dxa"/>
          </w:tblCellMar>
        </w:tblPrEx>
        <w:trPr>
          <w:trHeight w:val="90"/>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①预算资金分配依据是否充分；</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Ind w:w="0" w:type="dxa"/>
          <w:tblLayout w:type="fixed"/>
          <w:tblCellMar>
            <w:top w:w="0" w:type="dxa"/>
            <w:left w:w="108" w:type="dxa"/>
            <w:bottom w:w="0" w:type="dxa"/>
            <w:right w:w="108" w:type="dxa"/>
          </w:tblCellMar>
        </w:tblPrEx>
        <w:trPr>
          <w:trHeight w:val="1088"/>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top"/>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②资金分配额度是否合理，与项目单位或地方实际是否相适应。</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Ind w:w="0" w:type="dxa"/>
          <w:tblLayout w:type="fixed"/>
          <w:tblCellMar>
            <w:top w:w="0" w:type="dxa"/>
            <w:left w:w="108" w:type="dxa"/>
            <w:bottom w:w="0" w:type="dxa"/>
            <w:right w:w="108" w:type="dxa"/>
          </w:tblCellMar>
        </w:tblPrEx>
        <w:trPr>
          <w:trHeight w:val="108"/>
        </w:trPr>
        <w:tc>
          <w:tcPr>
            <w:tcW w:w="30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过程</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资金管理</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资金到位率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实际到位资金与预算资金的比率，用以反映和考核资金落实情况对项目实施的总体保障程度。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资金到位率=（实际到位资金/预算资金）×100%。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r>
      <w:tr>
        <w:tblPrEx>
          <w:tblW w:w="5674" w:type="pct"/>
          <w:tblInd w:w="0" w:type="dxa"/>
          <w:tblLayout w:type="fixed"/>
          <w:tblCellMar>
            <w:top w:w="0" w:type="dxa"/>
            <w:left w:w="108" w:type="dxa"/>
            <w:bottom w:w="0" w:type="dxa"/>
            <w:right w:w="108" w:type="dxa"/>
          </w:tblCellMar>
        </w:tblPrEx>
        <w:trPr>
          <w:trHeight w:val="460"/>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实际到位资金：一定时期（本年度或项目期）内落实到具体项目的资金。</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Ind w:w="0" w:type="dxa"/>
          <w:tblLayout w:type="fixed"/>
          <w:tblCellMar>
            <w:top w:w="0" w:type="dxa"/>
            <w:left w:w="108" w:type="dxa"/>
            <w:bottom w:w="0" w:type="dxa"/>
            <w:right w:w="108" w:type="dxa"/>
          </w:tblCellMar>
        </w:tblPrEx>
        <w:trPr>
          <w:trHeight w:val="582"/>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预算资金：一定时期（本年度或项目期）内预算安排到具体项目的资金。</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Ind w:w="0" w:type="dxa"/>
          <w:tblLayout w:type="fixed"/>
          <w:tblCellMar>
            <w:top w:w="0" w:type="dxa"/>
            <w:left w:w="108" w:type="dxa"/>
            <w:bottom w:w="0" w:type="dxa"/>
            <w:right w:w="108" w:type="dxa"/>
          </w:tblCellMar>
        </w:tblPrEx>
        <w:trPr>
          <w:trHeight w:val="460"/>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预算执行率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项目预算资金是否按照计划执行，用以反映或考核项目预算执行情况。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预算执行率=（实际支出资金/实际到位资金）×100%。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lang w:eastAsia="zh-CN"/>
              </w:rPr>
            </w:pPr>
            <w:r>
              <w:rPr>
                <w:rFonts w:ascii="Times New Roman" w:eastAsia="仿宋_GB2312" w:hAnsi="Times New Roman" w:cs="Times New Roman" w:hint="default"/>
                <w:color w:val="auto"/>
                <w:sz w:val="18"/>
                <w:szCs w:val="18"/>
                <w:highlight w:val="none"/>
                <w:lang w:val="en-US" w:eastAsia="zh-CN"/>
              </w:rPr>
              <w:t xml:space="preserve">4</w:t>
            </w:r>
          </w:p>
        </w:tc>
      </w:tr>
      <w:tr>
        <w:tblPrEx>
          <w:tblW w:w="5674" w:type="pct"/>
          <w:tblInd w:w="0" w:type="dxa"/>
          <w:tblLayout w:type="fixed"/>
          <w:tblCellMar>
            <w:top w:w="0" w:type="dxa"/>
            <w:left w:w="108" w:type="dxa"/>
            <w:bottom w:w="0" w:type="dxa"/>
            <w:right w:w="108" w:type="dxa"/>
          </w:tblCellMar>
        </w:tblPrEx>
        <w:trPr>
          <w:trHeight w:val="628"/>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实际支出资金：一定时期（本年度或项目期）内项目实际拨付的资金。</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Ind w:w="0" w:type="dxa"/>
          <w:tblLayout w:type="fixed"/>
          <w:tblCellMar>
            <w:top w:w="0" w:type="dxa"/>
            <w:left w:w="108" w:type="dxa"/>
            <w:bottom w:w="0" w:type="dxa"/>
            <w:right w:w="108" w:type="dxa"/>
          </w:tblCellMar>
        </w:tblPrEx>
        <w:trPr>
          <w:trHeight w:val="90"/>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资金使用合规性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项目资金使用是否符合相关的财务管理制度规定，用以反映和考核项目资金的规范运行情况。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r>
      <w:tr>
        <w:tblPrEx>
          <w:tblW w:w="5674" w:type="pct"/>
          <w:tblInd w:w="0" w:type="dxa"/>
          <w:tblLayout w:type="fixed"/>
          <w:tblCellMar>
            <w:top w:w="0" w:type="dxa"/>
            <w:left w:w="108" w:type="dxa"/>
            <w:bottom w:w="0" w:type="dxa"/>
            <w:right w:w="108" w:type="dxa"/>
          </w:tblCellMar>
        </w:tblPrEx>
        <w:trPr>
          <w:trHeight w:val="460"/>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①是否符合国家财经法规和财务管理制度以及有关专项资金管理办法的规定；</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Ind w:w="0" w:type="dxa"/>
          <w:tblLayout w:type="fixed"/>
          <w:tblCellMar>
            <w:top w:w="0" w:type="dxa"/>
            <w:left w:w="108" w:type="dxa"/>
            <w:bottom w:w="0" w:type="dxa"/>
            <w:right w:w="108" w:type="dxa"/>
          </w:tblCellMar>
        </w:tblPrEx>
        <w:trPr>
          <w:trHeight w:val="90"/>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②资金的拨付是否有完整的审批程序和手续；</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Ind w:w="0" w:type="dxa"/>
          <w:tblLayout w:type="fixed"/>
          <w:tblCellMar>
            <w:top w:w="0" w:type="dxa"/>
            <w:left w:w="108" w:type="dxa"/>
            <w:bottom w:w="0" w:type="dxa"/>
            <w:right w:w="108" w:type="dxa"/>
          </w:tblCellMar>
        </w:tblPrEx>
        <w:trPr>
          <w:trHeight w:val="90"/>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③是否符合项目预算批复或合同规定的用途；</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Ind w:w="0" w:type="dxa"/>
          <w:tblLayout w:type="fixed"/>
          <w:tblCellMar>
            <w:top w:w="0" w:type="dxa"/>
            <w:left w:w="108" w:type="dxa"/>
            <w:bottom w:w="0" w:type="dxa"/>
            <w:right w:w="108" w:type="dxa"/>
          </w:tblCellMar>
        </w:tblPrEx>
        <w:trPr>
          <w:trHeight w:val="119"/>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④是否存在截留、挤占、挪用、虚列支出等情况。</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Ind w:w="0" w:type="dxa"/>
          <w:tblLayout w:type="fixed"/>
          <w:tblCellMar>
            <w:top w:w="0" w:type="dxa"/>
            <w:left w:w="108" w:type="dxa"/>
            <w:bottom w:w="0" w:type="dxa"/>
            <w:right w:w="108" w:type="dxa"/>
          </w:tblCellMar>
        </w:tblPrEx>
        <w:trPr>
          <w:trHeight w:val="460"/>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组织实施</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管理制度健全性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项目实施单位的财务和业务管理制度是否健全，用以反映和考核财务和业务管理制度对项目顺利实施的保障情况。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r>
      <w:tr>
        <w:tblPrEx>
          <w:tblW w:w="5674" w:type="pct"/>
          <w:tblInd w:w="0" w:type="dxa"/>
          <w:tblLayout w:type="fixed"/>
          <w:tblCellMar>
            <w:top w:w="0" w:type="dxa"/>
            <w:left w:w="108" w:type="dxa"/>
            <w:bottom w:w="0" w:type="dxa"/>
            <w:right w:w="108" w:type="dxa"/>
          </w:tblCellMar>
        </w:tblPrEx>
        <w:trPr>
          <w:trHeight w:val="460"/>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①是否已制定或具有相应的财务和业务管理制度；</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Ind w:w="0" w:type="dxa"/>
          <w:tblLayout w:type="fixed"/>
          <w:tblCellMar>
            <w:top w:w="0" w:type="dxa"/>
            <w:left w:w="108" w:type="dxa"/>
            <w:bottom w:w="0" w:type="dxa"/>
            <w:right w:w="108" w:type="dxa"/>
          </w:tblCellMar>
        </w:tblPrEx>
        <w:trPr>
          <w:trHeight w:val="460"/>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②财务和业务管理制度是否合法、合规、完整。</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Ind w:w="0" w:type="dxa"/>
          <w:tblLayout w:type="fixed"/>
          <w:tblCellMar>
            <w:top w:w="0" w:type="dxa"/>
            <w:left w:w="108" w:type="dxa"/>
            <w:bottom w:w="0" w:type="dxa"/>
            <w:right w:w="108" w:type="dxa"/>
          </w:tblCellMar>
        </w:tblPrEx>
        <w:trPr>
          <w:trHeight w:val="233"/>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制度执行有效性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项目实施是否符合相关管理规定，用以反映和考核相关管理制度的有效执行情况。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r>
      <w:tr>
        <w:tblPrEx>
          <w:tblW w:w="5674" w:type="pct"/>
          <w:tblInd w:w="0" w:type="dxa"/>
          <w:tblLayout w:type="fixed"/>
          <w:tblCellMar>
            <w:top w:w="0" w:type="dxa"/>
            <w:left w:w="108" w:type="dxa"/>
            <w:bottom w:w="0" w:type="dxa"/>
            <w:right w:w="108" w:type="dxa"/>
          </w:tblCellMar>
        </w:tblPrEx>
        <w:trPr>
          <w:trHeight w:val="152"/>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①是否遵守相关法律法规和相关管理规定；</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Ind w:w="0" w:type="dxa"/>
          <w:tblLayout w:type="fixed"/>
          <w:tblCellMar>
            <w:top w:w="0" w:type="dxa"/>
            <w:left w:w="108" w:type="dxa"/>
            <w:bottom w:w="0" w:type="dxa"/>
            <w:right w:w="108" w:type="dxa"/>
          </w:tblCellMar>
        </w:tblPrEx>
        <w:trPr>
          <w:trHeight w:val="90"/>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②项目调整及支出调整手续是否完备；</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Ind w:w="0" w:type="dxa"/>
          <w:tblLayout w:type="fixed"/>
          <w:tblCellMar>
            <w:top w:w="0" w:type="dxa"/>
            <w:left w:w="108" w:type="dxa"/>
            <w:bottom w:w="0" w:type="dxa"/>
            <w:right w:w="108" w:type="dxa"/>
          </w:tblCellMar>
        </w:tblPrEx>
        <w:trPr>
          <w:trHeight w:val="460"/>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③项目合同书、验收报告、技术鉴定等资料是否齐全并及时归档；</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Ind w:w="0" w:type="dxa"/>
          <w:tblLayout w:type="fixed"/>
          <w:tblCellMar>
            <w:top w:w="0" w:type="dxa"/>
            <w:left w:w="108" w:type="dxa"/>
            <w:bottom w:w="0" w:type="dxa"/>
            <w:right w:w="108" w:type="dxa"/>
          </w:tblCellMar>
        </w:tblPrEx>
        <w:trPr>
          <w:trHeight w:val="460"/>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④项目实施的人员条件、场地设备、信息支撑等是否落实到位。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Ind w:w="0" w:type="dxa"/>
          <w:tblLayout w:type="fixed"/>
          <w:tblCellMar>
            <w:top w:w="0" w:type="dxa"/>
            <w:left w:w="108" w:type="dxa"/>
            <w:bottom w:w="0" w:type="dxa"/>
            <w:right w:w="108" w:type="dxa"/>
          </w:tblCellMar>
        </w:tblPrEx>
        <w:trPr>
          <w:trHeight w:val="460"/>
        </w:trPr>
        <w:tc>
          <w:tcPr>
            <w:tcW w:w="30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产出</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产出数量</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实际完成率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项目实施的实际产出数与计划产出数的比率，用以反映和考核项目产出数量目标的实现程度。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实际完成率=（实际产出数/计划产出数）×100%。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12</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12</w:t>
            </w:r>
          </w:p>
        </w:tc>
      </w:tr>
      <w:tr>
        <w:tblPrEx>
          <w:tblW w:w="5674" w:type="pct"/>
          <w:tblInd w:w="0" w:type="dxa"/>
          <w:tblLayout w:type="fixed"/>
          <w:tblCellMar>
            <w:top w:w="0" w:type="dxa"/>
            <w:left w:w="108" w:type="dxa"/>
            <w:bottom w:w="0" w:type="dxa"/>
            <w:right w:w="108" w:type="dxa"/>
          </w:tblCellMar>
        </w:tblPrEx>
        <w:trPr>
          <w:trHeight w:val="460"/>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实际产出数：一定时期（本年度或项目期）内项目实际产出的产品或提供的服务数量。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Ind w:w="0" w:type="dxa"/>
          <w:tblLayout w:type="fixed"/>
          <w:tblCellMar>
            <w:top w:w="0" w:type="dxa"/>
            <w:left w:w="108" w:type="dxa"/>
            <w:bottom w:w="0" w:type="dxa"/>
            <w:right w:w="108" w:type="dxa"/>
          </w:tblCellMar>
        </w:tblPrEx>
        <w:trPr>
          <w:trHeight w:val="460"/>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计划产出数：项目绩效目标确定的在一定时期（本年度或项目期）内计划产出的产品或提供的服务数量。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Ind w:w="0" w:type="dxa"/>
          <w:tblLayout w:type="fixed"/>
          <w:tblCellMar>
            <w:top w:w="0" w:type="dxa"/>
            <w:left w:w="108" w:type="dxa"/>
            <w:bottom w:w="0" w:type="dxa"/>
            <w:right w:w="108" w:type="dxa"/>
          </w:tblCellMar>
        </w:tblPrEx>
        <w:trPr>
          <w:trHeight w:val="337"/>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产出质量</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质量达标率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项目完成的质量达标产出数与实际产出数的比率，用以反映和考核项目产出质量目标的实现程度。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质量达标率=（质量达标产出数/实际产出数）×100%。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12</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12</w:t>
            </w:r>
          </w:p>
        </w:tc>
      </w:tr>
      <w:tr>
        <w:tblPrEx>
          <w:tblW w:w="5674" w:type="pct"/>
          <w:tblInd w:w="0" w:type="dxa"/>
          <w:tblLayout w:type="fixed"/>
          <w:tblCellMar>
            <w:top w:w="0" w:type="dxa"/>
            <w:left w:w="108" w:type="dxa"/>
            <w:bottom w:w="0" w:type="dxa"/>
            <w:right w:w="108" w:type="dxa"/>
          </w:tblCellMar>
        </w:tblPrEx>
        <w:trPr>
          <w:trHeight w:val="880"/>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Ind w:w="0" w:type="dxa"/>
          <w:tblLayout w:type="fixed"/>
          <w:tblCellMar>
            <w:top w:w="0" w:type="dxa"/>
            <w:left w:w="108" w:type="dxa"/>
            <w:bottom w:w="0" w:type="dxa"/>
            <w:right w:w="108" w:type="dxa"/>
          </w:tblCellMar>
        </w:tblPrEx>
        <w:trPr>
          <w:trHeight w:val="460"/>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产出时效</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完成及时性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项目实际完成时间与计划完成时间的比较，用以反映和考核项目产出时效目标的实现程度。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实际完成时间：项目实施单位完成该项目实际所耗用的时间。</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12</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lang w:val="en-US" w:eastAsia="zh-CN"/>
              </w:rPr>
            </w:pPr>
            <w:r>
              <w:rPr>
                <w:rFonts w:ascii="Times New Roman" w:eastAsia="仿宋_GB2312" w:hAnsi="Times New Roman" w:cs="Times New Roman" w:hint="default"/>
                <w:color w:val="auto"/>
                <w:sz w:val="18"/>
                <w:szCs w:val="18"/>
                <w:highlight w:val="none"/>
                <w:lang w:val="en-US" w:eastAsia="zh-CN"/>
              </w:rPr>
              <w:t xml:space="preserve">12</w:t>
            </w:r>
          </w:p>
        </w:tc>
      </w:tr>
      <w:tr>
        <w:tblPrEx>
          <w:tblW w:w="5674" w:type="pct"/>
          <w:tblInd w:w="0" w:type="dxa"/>
          <w:tblLayout w:type="fixed"/>
          <w:tblCellMar>
            <w:top w:w="0" w:type="dxa"/>
            <w:left w:w="108" w:type="dxa"/>
            <w:bottom w:w="0" w:type="dxa"/>
            <w:right w:w="108" w:type="dxa"/>
          </w:tblCellMar>
        </w:tblPrEx>
        <w:trPr>
          <w:trHeight w:val="460"/>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计划完成时间：按照项目实施计划或相关规定完成该项目所需的时间。</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Ind w:w="0" w:type="dxa"/>
          <w:tblLayout w:type="fixed"/>
          <w:tblCellMar>
            <w:top w:w="0" w:type="dxa"/>
            <w:left w:w="108" w:type="dxa"/>
            <w:bottom w:w="0" w:type="dxa"/>
            <w:right w:w="108" w:type="dxa"/>
          </w:tblCellMar>
        </w:tblPrEx>
        <w:trPr>
          <w:trHeight w:val="460"/>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产出成本</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成本节约率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完成项目计划工作目标的实际节约成本与计划成本的比率，用以反映和考核项目的成本节约程度。</w:t>
            </w:r>
          </w:p>
        </w:tc>
        <w:tc>
          <w:tcPr>
            <w:tcW w:w="2160" w:type="pct"/>
            <w:tcBorders>
              <w:top w:val="single" w:sz="4" w:space="0" w:color="auto"/>
              <w:left w:val="single" w:sz="4" w:space="0" w:color="auto"/>
              <w:bottom w:val="nil"/>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lang w:val="en-US" w:eastAsia="zh-CN"/>
              </w:rPr>
            </w:pPr>
            <w:r>
              <w:rPr>
                <w:rFonts w:ascii="Times New Roman" w:eastAsia="仿宋_GB2312" w:hAnsi="Times New Roman" w:cs="Times New Roman" w:hint="default"/>
                <w:color w:val="auto"/>
                <w:sz w:val="18"/>
                <w:szCs w:val="18"/>
                <w:highlight w:val="none"/>
                <w:lang w:val="en-US" w:eastAsia="zh-CN"/>
              </w:rPr>
              <w:t xml:space="preserve">4</w:t>
            </w:r>
          </w:p>
        </w:tc>
      </w:tr>
      <w:tr>
        <w:tblPrEx>
          <w:tblW w:w="5674" w:type="pct"/>
          <w:tblInd w:w="0" w:type="dxa"/>
          <w:tblLayout w:type="fixed"/>
          <w:tblCellMar>
            <w:top w:w="0" w:type="dxa"/>
            <w:left w:w="108" w:type="dxa"/>
            <w:bottom w:w="0" w:type="dxa"/>
            <w:right w:w="108" w:type="dxa"/>
          </w:tblCellMar>
        </w:tblPrEx>
        <w:trPr>
          <w:trHeight w:val="460"/>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成本节约率=〔（计划成本</w:t>
            </w:r>
            <w:r>
              <w:rPr>
                <w:rFonts w:ascii="Times New Roman" w:eastAsia="仿宋_GB2312" w:hAnsi="Times New Roman" w:cs="Times New Roman" w:hint="default"/>
                <w:color w:val="auto"/>
                <w:sz w:val="18"/>
                <w:szCs w:val="18"/>
                <w:highlight w:val="none"/>
                <w:lang w:eastAsia="zh-CN"/>
              </w:rPr>
              <w:t xml:space="preserve">－</w:t>
            </w:r>
            <w:r>
              <w:rPr>
                <w:rFonts w:ascii="Times New Roman" w:eastAsia="仿宋_GB2312" w:hAnsi="Times New Roman" w:cs="Times New Roman" w:hint="default"/>
                <w:color w:val="auto"/>
                <w:sz w:val="18"/>
                <w:szCs w:val="18"/>
                <w:highlight w:val="none"/>
              </w:rPr>
              <w:t xml:space="preserve">实际成本）/计划成本〕×100%。</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Ind w:w="0" w:type="dxa"/>
          <w:tblLayout w:type="fixed"/>
          <w:tblCellMar>
            <w:top w:w="0" w:type="dxa"/>
            <w:left w:w="108" w:type="dxa"/>
            <w:bottom w:w="0" w:type="dxa"/>
            <w:right w:w="108" w:type="dxa"/>
          </w:tblCellMar>
        </w:tblPrEx>
        <w:trPr>
          <w:trHeight w:val="460"/>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实际成本：项目实施单位如期、保质、保量完成既定工作目标实际所耗费的支出。</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Ind w:w="0" w:type="dxa"/>
          <w:tblLayout w:type="fixed"/>
          <w:tblCellMar>
            <w:top w:w="0" w:type="dxa"/>
            <w:left w:w="108" w:type="dxa"/>
            <w:bottom w:w="0" w:type="dxa"/>
            <w:right w:w="108" w:type="dxa"/>
          </w:tblCellMar>
        </w:tblPrEx>
        <w:trPr>
          <w:trHeight w:val="460"/>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计划成本：项目实施单位为完成工作目标计划安排的支出，一般以项目预算为参考。</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Ind w:w="0" w:type="dxa"/>
          <w:tblLayout w:type="fixed"/>
          <w:tblCellMar>
            <w:top w:w="0" w:type="dxa"/>
            <w:left w:w="108" w:type="dxa"/>
            <w:bottom w:w="0" w:type="dxa"/>
            <w:right w:w="108" w:type="dxa"/>
          </w:tblCellMar>
        </w:tblPrEx>
        <w:trPr>
          <w:trHeight w:val="780"/>
        </w:trPr>
        <w:tc>
          <w:tcPr>
            <w:tcW w:w="30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效益</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项目效益</w:t>
            </w:r>
          </w:p>
        </w:tc>
        <w:tc>
          <w:tcPr>
            <w:tcW w:w="4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实施</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效益</w:t>
            </w:r>
          </w:p>
        </w:tc>
        <w:tc>
          <w:tcPr>
            <w:tcW w:w="1123" w:type="pc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项目实施所产生的效益。</w:t>
            </w:r>
          </w:p>
        </w:tc>
        <w:tc>
          <w:tcPr>
            <w:tcW w:w="21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项目实施所产生的社会效益、经济效益、生态效益、可持续影响等。可根据项目实际情况有选择地设置和细化。</w:t>
            </w:r>
          </w:p>
        </w:tc>
        <w:tc>
          <w:tcPr>
            <w:tcW w:w="317"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10</w:t>
            </w:r>
          </w:p>
        </w:tc>
        <w:tc>
          <w:tcPr>
            <w:tcW w:w="323"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10</w:t>
            </w:r>
          </w:p>
        </w:tc>
      </w:tr>
      <w:tr>
        <w:tblPrEx>
          <w:tblW w:w="5674" w:type="pct"/>
          <w:tblInd w:w="0" w:type="dxa"/>
          <w:tblLayout w:type="fixed"/>
          <w:tblCellMar>
            <w:top w:w="0" w:type="dxa"/>
            <w:left w:w="108" w:type="dxa"/>
            <w:bottom w:w="0" w:type="dxa"/>
            <w:right w:w="108" w:type="dxa"/>
          </w:tblCellMar>
        </w:tblPrEx>
        <w:trPr>
          <w:trHeight w:val="860"/>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满意度</w:t>
            </w:r>
          </w:p>
        </w:tc>
        <w:tc>
          <w:tcPr>
            <w:tcW w:w="1123" w:type="pc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社会公众或服务对象对项目实施效果的满意程度。</w:t>
            </w:r>
          </w:p>
        </w:tc>
        <w:tc>
          <w:tcPr>
            <w:tcW w:w="21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社会公众或服务对象是指因该项目实施而受到影响的部门（单位）、群体或个人。一般采取社会调查的方式。</w:t>
            </w:r>
          </w:p>
        </w:tc>
        <w:tc>
          <w:tcPr>
            <w:tcW w:w="317"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10</w:t>
            </w:r>
          </w:p>
        </w:tc>
        <w:tc>
          <w:tcPr>
            <w:tcW w:w="323"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10</w:t>
            </w:r>
          </w:p>
        </w:tc>
      </w:tr>
      <w:tr>
        <w:tblPrEx>
          <w:tblW w:w="5674" w:type="pct"/>
          <w:tblInd w:w="0" w:type="dxa"/>
          <w:tblLayout w:type="fixed"/>
          <w:tblCellMar>
            <w:top w:w="0" w:type="dxa"/>
            <w:left w:w="108" w:type="dxa"/>
            <w:bottom w:w="0" w:type="dxa"/>
            <w:right w:w="108" w:type="dxa"/>
          </w:tblCellMar>
        </w:tblPrEx>
        <w:trPr>
          <w:trHeight w:val="460"/>
        </w:trPr>
        <w:tc>
          <w:tcPr>
            <w:tcW w:w="4359" w:type="pct"/>
            <w:gridSpan w:val="5"/>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合计</w:t>
            </w:r>
          </w:p>
        </w:tc>
        <w:tc>
          <w:tcPr>
            <w:tcW w:w="317"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100</w:t>
            </w:r>
          </w:p>
        </w:tc>
        <w:tc>
          <w:tcPr>
            <w:tcW w:w="323"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lang w:val="en-US" w:eastAsia="zh-CN"/>
              </w:rPr>
            </w:pPr>
            <w:r>
              <w:rPr>
                <w:rFonts w:cs="Times New Roman" w:hint="eastAsia"/>
                <w:color w:val="auto"/>
                <w:sz w:val="18"/>
                <w:szCs w:val="18"/>
                <w:highlight w:val="none"/>
                <w:lang w:val="en-US" w:eastAsia="zh-CN"/>
              </w:rPr>
              <w:t xml:space="preserve">99.5</w:t>
            </w:r>
            <w:bookmarkEnd w:id="0"/>
          </w:p>
        </w:tc>
      </w:tr>
    </w:tbl>
    <w:p>
      <w:pPr>
        <w:ind w:firstLine="640"/>
        <w:jc w:val="both"/>
        <w:rPr>
          <w:rFonts w:ascii="Times New Roman" w:eastAsia="仿宋_GB2312" w:hAnsi="Times New Roman" w:cs="Times New Roman" w:hint="default"/>
          <w:color w:val="auto"/>
          <w:highlight w:val="none"/>
        </w:rPr>
      </w:pPr>
    </w:p>
    <w:sectPr>
      <w:pgSz w:w="11906" w:h="16838" w:orient="portrait"/>
      <w:pgMar w:top="1440" w:right="1800" w:bottom="1440" w:left="1800" w:header="851" w:footer="992" w:gutter="0"/>
      <w:pgBorders/>
      <w:pgNumType w:fmt="decimal"/>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822C1CF-4594-4865-9880-AC38F45D6B4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5ABC7416-72D0-4F40-A8DE-C3E0996FB40D}"/>
  </w:font>
  <w:font w:name="方正小标宋_GBK">
    <w:altName w:val="微软雅黑"/>
    <w:panose1 w:val="02000000000000000000"/>
    <w:charset w:val="86"/>
    <w:family w:val="auto"/>
    <w:pitch w:val="default"/>
    <w:sig w:usb0="00000001" w:usb1="08000000" w:usb2="00000000" w:usb3="00000000" w:csb0="00040000" w:csb1="00000000"/>
  </w:font>
  <w:font w:name="楷体_GB2312">
    <w:altName w:val="楷体"/>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auto"/>
    <w:pitch w:val="default"/>
    <w:sig w:usb0="800002BF" w:usb1="38CF7CFA" w:usb2="00000016" w:usb3="00000000" w:csb0="00040001" w:csb1="00000000"/>
    <w:embedRegular r:id="rId3" w:fontKey="{33DB4A72-83F8-4419-AF08-E158F03086E4}"/>
  </w:font>
  <w:font w:name="仿宋">
    <w:panose1 w:val="00000000000000000000"/>
    <w:charset w:val="01"/>
    <w:family w:val="auto"/>
    <w:pitch w:val="default"/>
    <w:sig w:usb0="00000000" w:usb1="00000000" w:usb2="00000000" w:usb3="00000000" w:csb0="00000000" w:csb1="00000000"/>
  </w:font>
  <w:font w:name="方正小标宋">
    <w:panose1 w:val="00000000000000000000"/>
    <w:charset w:val="01"/>
    <w:family w:val="auto"/>
    <w:pitch w:val="default"/>
    <w:sig w:usb0="00000000" w:usb1="00000000" w:usb2="00000000" w:usb3="00000000" w:csb0="00000000"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r>
      <w:pict>
        <v:shapetype id="_x0000_t202" coordsize="21600,21600" o:spt="202" path="m,l,21600r21600,l21600,xe">
          <v:stroke joinstyle="miter"/>
          <v:path gradientshapeok="t" o:connecttype="rect"/>
        </v:shapetype>
        <v:shape id="_x0000_s2059" o:spid="_x0000_s2049" type="#_x0000_t202" style="width:2in;height:2in;margin-top:0;margin-left:0;mso-height-relative:page;mso-position-horizontal:center;mso-position-horizontal-relative:margin;mso-width-relative:page;mso-wrap-style:none;position:absolute;z-index:251658240"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 xml:space="preserve">3</w:t>
                </w:r>
                <w:r>
                  <w:fldChar w:fldCharType="end"/>
                </w:r>
              </w:p>
            </w:txbxContent>
          </v:textbox>
          <w10:wrap anchorx="margin"/>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w:zoom w:percent="110"/>
  <w:embedTrueTypeFonts/>
  <w:saveSubsetFonts/>
  <w:bordersDoNotSurroundFooter w:val="0"/>
  <w:bordersDoNotSurroundHeader w:val="0"/>
  <w:doNotTrackMove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9"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unhideWhenUsed="0" w:qFormat="1"/>
    <w:lsdException w:name="toc 2" w:semiHidden="0" w:uiPriority="39" w:unhideWhenUsed="0" w:qFormat="1"/>
    <w:lsdException w:name="toc 3" w:semiHidden="0" w:uiPriority="39" w:unhideWhenUsed="0"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qFormat="1"/>
    <w:lsdException w:name="annotation text" w:semiHidden="0" w:uiPriority="0" w:unhideWhenUsed="0"/>
    <w:lsdException w:name="header" w:semiHidden="0"/>
    <w:lsdException w:name="footer" w:semiHidden="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1"/>
    <w:lsdException w:name="Body Text" w:semiHidden="0" w:uiPriority="1"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Heading2"/>
    <w:qFormat/>
    <w:pPr>
      <w:widowControl w:val="0"/>
      <w:spacing w:line="360" w:lineRule="auto"/>
      <w:ind w:firstLine="880" w:firstLineChars="200"/>
      <w:jc w:val="both"/>
    </w:pPr>
    <w:rPr>
      <w:rFonts w:eastAsia="仿宋_GB2312"/>
      <w:kern w:val="2"/>
      <w:sz w:val="32"/>
      <w:szCs w:val="22"/>
      <w:lang w:val="en-US" w:eastAsia="zh-CN" w:bidi="ar-SA"/>
    </w:rPr>
  </w:style>
  <w:style w:type="paragraph" w:styleId="Heading1">
    <w:name w:val="Heading 1"/>
    <w:basedOn w:val="Normal"/>
    <w:next w:val="Normal"/>
    <w:uiPriority w:val="9"/>
    <w:qFormat/>
    <w:pPr>
      <w:keepNext/>
      <w:keepLines/>
      <w:ind w:firstLine="0" w:firstLineChars="0"/>
      <w:jc w:val="center"/>
      <w:outlineLvl w:val="0"/>
    </w:pPr>
    <w:rPr>
      <w:rFonts w:eastAsia="方正小标宋_GBK"/>
      <w:kern w:val="44"/>
      <w:sz w:val="36"/>
    </w:rPr>
  </w:style>
  <w:style w:type="paragraph" w:styleId="Heading2">
    <w:name w:val="Heading 2"/>
    <w:basedOn w:val="Normal"/>
    <w:next w:val="Normal"/>
    <w:link w:val="标题2字符"/>
    <w:uiPriority w:val="99"/>
    <w:qFormat/>
    <w:pPr>
      <w:keepNext/>
      <w:outlineLvl w:val="1"/>
    </w:pPr>
    <w:rPr>
      <w:rFonts w:eastAsia="黑体" w:cs="Times New Roman"/>
      <w:bCs/>
      <w:iCs/>
      <w:szCs w:val="21"/>
    </w:rPr>
  </w:style>
  <w:style w:type="paragraph" w:styleId="Heading3">
    <w:name w:val="Heading 3"/>
    <w:basedOn w:val="Normal"/>
    <w:next w:val="Normal"/>
    <w:link w:val="标题3字符"/>
    <w:uiPriority w:val="9"/>
    <w:unhideWhenUsed/>
    <w:qFormat/>
    <w:pPr>
      <w:keepNext/>
      <w:keepLines/>
      <w:outlineLvl w:val="2"/>
    </w:pPr>
    <w:rPr>
      <w:rFonts w:eastAsia="楷体_GB2312"/>
      <w:b/>
    </w:rPr>
  </w:style>
  <w:style w:type="paragraph" w:styleId="Heading4">
    <w:name w:val="Heading 4"/>
    <w:basedOn w:val="Normal"/>
    <w:next w:val="Normal"/>
    <w:qFormat/>
    <w:pPr>
      <w:keepNext/>
      <w:keepLines/>
      <w:spacing w:before="280" w:after="290" w:line="376" w:lineRule="auto"/>
      <w:outlineLvl w:val="3"/>
    </w:pPr>
    <w:rPr>
      <w:rFonts w:ascii="Cambria" w:eastAsia="宋体" w:hAnsi="Cambria"/>
      <w:b/>
      <w:bCs/>
      <w:sz w:val="28"/>
      <w:szCs w:val="28"/>
    </w:rPr>
  </w:style>
  <w:style w:type="character" w:default="1" w:styleId="DefaultParagraphFont">
    <w:name w:val="Default Paragraph Font"/>
    <w:uiPriority w:val="1"/>
    <w:unhideWhenUsed/>
    <w:rPr/>
  </w:style>
  <w:style w:type="table" w:default="1" w:styleId="NormalTable">
    <w:name w:val="Normal Table"/>
    <w:semiHidden/>
    <w:qFormat/>
    <w:rPr/>
    <w:tblPr>
      <w:tblCellMar>
        <w:top w:w="0" w:type="dxa"/>
        <w:left w:w="108" w:type="dxa"/>
        <w:bottom w:w="0" w:type="dxa"/>
        <w:right w:w="108" w:type="dxa"/>
      </w:tblCellMar>
    </w:tblPr>
  </w:style>
  <w:style w:type="paragraph" w:styleId="CommentText">
    <w:name w:val="Comment Text"/>
    <w:basedOn w:val="Normal"/>
    <w:qFormat/>
    <w:pPr>
      <w:jc w:val="left"/>
    </w:pPr>
    <w:rPr/>
  </w:style>
  <w:style w:type="paragraph" w:styleId="TOC3">
    <w:name w:val="TOC 3"/>
    <w:basedOn w:val="Normal"/>
    <w:next w:val="Normal"/>
    <w:uiPriority w:val="39"/>
    <w:qFormat/>
    <w:pPr>
      <w:ind w:left="840" w:leftChars="400"/>
    </w:pPr>
    <w:rPr/>
  </w:style>
  <w:style w:type="paragraph" w:styleId="Footer">
    <w:name w:val="Footer"/>
    <w:basedOn w:val="Normal"/>
    <w:link w:val="页脚字符"/>
    <w:uiPriority w:val="99"/>
    <w:unhideWhenUsed/>
    <w:qFormat/>
    <w:pPr>
      <w:tabs>
        <w:tab w:val="center" w:pos="4153"/>
        <w:tab w:val="right" w:pos="8306"/>
      </w:tabs>
      <w:snapToGrid w:val="0"/>
      <w:jc w:val="left"/>
    </w:pPr>
    <w:rPr>
      <w:sz w:val="18"/>
    </w:rPr>
  </w:style>
  <w:style w:type="paragraph" w:styleId="Header">
    <w:name w:val="Header"/>
    <w:basedOn w:val="Normal"/>
    <w:link w:val="页眉字符"/>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TOC1">
    <w:name w:val="TOC 1"/>
    <w:basedOn w:val="Normal"/>
    <w:next w:val="Normal"/>
    <w:uiPriority w:val="39"/>
    <w:qFormat/>
    <w:rPr/>
  </w:style>
  <w:style w:type="paragraph" w:styleId="TOC2">
    <w:name w:val="TOC 2"/>
    <w:basedOn w:val="Normal"/>
    <w:next w:val="Normal"/>
    <w:uiPriority w:val="39"/>
    <w:qFormat/>
    <w:pPr>
      <w:ind w:left="420" w:leftChars="200"/>
    </w:pPr>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font112">
    <w:name w:val="font112"/>
    <w:basedOn w:val="DefaultParagraphFont"/>
    <w:rPr>
      <w:rFonts w:ascii="宋体" w:eastAsia="宋体" w:hAnsi="宋体" w:cs="宋体" w:hint="eastAsia"/>
      <w:color w:val="000000"/>
      <w:sz w:val="22"/>
      <w:szCs w:val="22"/>
      <w:u w:val="none"/>
    </w:rPr>
  </w:style>
  <w:style w:type="character" w:customStyle="1" w:styleId="font81">
    <w:name w:val="font81"/>
    <w:basedOn w:val="DefaultParagraphFont"/>
    <w:rPr>
      <w:rFonts w:ascii="宋体" w:eastAsia="宋体" w:hAnsi="宋体" w:cs="宋体" w:hint="eastAsia"/>
      <w:color w:val="000000"/>
      <w:sz w:val="22"/>
      <w:szCs w:val="22"/>
      <w:u w:val="none"/>
    </w:rPr>
  </w:style>
  <w:style w:type="character" w:customStyle="1" w:styleId="font91">
    <w:name w:val="font91"/>
    <w:basedOn w:val="DefaultParagraphFont"/>
    <w:rPr>
      <w:rFonts w:ascii="Times New Roman" w:hAnsi="Times New Roman" w:cs="Times New Roman" w:hint="default"/>
      <w:color w:val="000000"/>
      <w:sz w:val="18"/>
      <w:szCs w:val="18"/>
      <w:u w:val="none"/>
    </w:rPr>
  </w:style>
  <w:style w:type="character" w:customStyle="1" w:styleId="标题2字符">
    <w:name w:val="标题 2 字符"/>
    <w:link w:val="Heading2"/>
    <w:uiPriority w:val="99"/>
    <w:qFormat/>
    <w:rPr>
      <w:rFonts w:eastAsia="黑体"/>
      <w:bCs/>
      <w:iCs/>
      <w:kern w:val="2"/>
      <w:sz w:val="32"/>
      <w:szCs w:val="21"/>
    </w:rPr>
  </w:style>
  <w:style w:type="character" w:customStyle="1" w:styleId="font71">
    <w:name w:val="font71"/>
    <w:basedOn w:val="DefaultParagraphFont"/>
    <w:rPr>
      <w:rFonts w:ascii="宋体" w:eastAsia="宋体" w:hAnsi="宋体" w:cs="宋体" w:hint="eastAsia"/>
      <w:color w:val="000000"/>
      <w:sz w:val="22"/>
      <w:szCs w:val="22"/>
      <w:u w:val="none"/>
    </w:rPr>
  </w:style>
  <w:style w:type="character" w:customStyle="1" w:styleId="font41">
    <w:name w:val="font41"/>
    <w:basedOn w:val="DefaultParagraphFont"/>
    <w:rPr>
      <w:rFonts w:ascii="宋体" w:eastAsia="宋体" w:hAnsi="宋体" w:cs="宋体" w:hint="eastAsia"/>
      <w:color w:val="000000"/>
      <w:sz w:val="22"/>
      <w:szCs w:val="22"/>
      <w:u w:val="none"/>
    </w:rPr>
  </w:style>
  <w:style w:type="character" w:customStyle="1" w:styleId="font21">
    <w:name w:val="font21"/>
    <w:basedOn w:val="DefaultParagraphFont"/>
    <w:rPr>
      <w:rFonts w:ascii="Times New Roman" w:hAnsi="Times New Roman" w:cs="Times New Roman" w:hint="default"/>
      <w:color w:val="000000"/>
      <w:sz w:val="22"/>
      <w:szCs w:val="22"/>
      <w:u w:val="none"/>
    </w:rPr>
  </w:style>
  <w:style w:type="character" w:customStyle="1" w:styleId="font101">
    <w:name w:val="font101"/>
    <w:basedOn w:val="DefaultParagraphFont"/>
    <w:rPr>
      <w:rFonts w:ascii="宋体" w:eastAsia="宋体" w:hAnsi="宋体" w:cs="宋体" w:hint="eastAsia"/>
      <w:color w:val="000000"/>
      <w:sz w:val="18"/>
      <w:szCs w:val="18"/>
      <w:u w:val="none"/>
    </w:rPr>
  </w:style>
  <w:style w:type="character" w:customStyle="1" w:styleId="标题3字符">
    <w:name w:val="标题 3 字符"/>
    <w:link w:val="Heading3"/>
    <w:uiPriority w:val="9"/>
    <w:qFormat/>
    <w:rPr>
      <w:rFonts w:eastAsia="楷体_GB2312" w:cs="Times New Roman"/>
      <w:b/>
      <w:kern w:val="2"/>
      <w:sz w:val="32"/>
      <w:szCs w:val="22"/>
    </w:rPr>
  </w:style>
  <w:style w:type="character" w:customStyle="1" w:styleId="页脚字符">
    <w:name w:val="页脚 字符"/>
    <w:link w:val="Footer"/>
    <w:uiPriority w:val="99"/>
    <w:rPr>
      <w:rFonts w:eastAsia="仿宋_GB2312" w:cs="Times New Roman"/>
      <w:kern w:val="2"/>
      <w:sz w:val="18"/>
      <w:szCs w:val="22"/>
    </w:rPr>
  </w:style>
  <w:style w:type="character" w:customStyle="1" w:styleId="font131">
    <w:name w:val="font131"/>
    <w:basedOn w:val="DefaultParagraphFont"/>
    <w:rPr>
      <w:rFonts w:ascii="宋体" w:eastAsia="宋体" w:hAnsi="宋体" w:cs="宋体" w:hint="eastAsia"/>
      <w:color w:val="000000"/>
      <w:sz w:val="18"/>
      <w:szCs w:val="18"/>
      <w:u w:val="none"/>
    </w:rPr>
  </w:style>
  <w:style w:type="character" w:customStyle="1" w:styleId="页眉字符">
    <w:name w:val="页眉 字符"/>
    <w:link w:val="Header"/>
    <w:uiPriority w:val="99"/>
    <w:rPr>
      <w:rFonts w:eastAsia="仿宋_GB2312" w:cs="Times New Roman"/>
      <w:kern w:val="2"/>
      <w:sz w:val="18"/>
      <w:szCs w:val="22"/>
    </w:rPr>
  </w:style>
  <w:style w:type="paragraph" w:customStyle="1" w:styleId="WPSOffice手动目录2">
    <w:name w:val="WPSOffice手动目录 2"/>
    <w:qFormat/>
    <w:pPr>
      <w:ind w:leftChars="200"/>
    </w:pPr>
    <w:rPr>
      <w:sz w:val="20"/>
      <w:szCs w:val="20"/>
    </w:rPr>
  </w:style>
  <w:style w:type="paragraph" w:customStyle="1" w:styleId="表格内容">
    <w:name w:val="表格内容"/>
    <w:basedOn w:val="Normal"/>
    <w:next w:val="Normal"/>
    <w:qFormat/>
    <w:pPr>
      <w:keepNext w:val="0"/>
      <w:keepLines/>
      <w:spacing w:line="240" w:lineRule="auto"/>
      <w:ind w:firstLine="0" w:firstLineChars="0"/>
      <w:jc w:val="center"/>
      <w:outlineLvl w:val="9"/>
    </w:pPr>
    <w:rPr>
      <w:rFonts w:ascii="Times New Roman" w:hAnsi="Times New Roman" w:hint="eastAsia"/>
      <w:kern w:val="44"/>
      <w:sz w:val="21"/>
    </w:rPr>
  </w:style>
  <w:style w:type="paragraph" w:customStyle="1" w:styleId="WPSOffice手动目录1">
    <w:name w:val="WPSOffice手动目录 1"/>
    <w:qFormat/>
    <w:pPr>
      <w:ind w:leftChars="0"/>
    </w:pPr>
    <w:rPr>
      <w:sz w:val="20"/>
      <w:szCs w:val="20"/>
    </w:rPr>
  </w:style>
  <w:style w:type="paragraph" w:customStyle="1" w:styleId="表格标题">
    <w:name w:val="表格标题"/>
    <w:basedOn w:val="Normal"/>
    <w:next w:val="Normal"/>
    <w:qFormat/>
    <w:pPr>
      <w:keepNext/>
      <w:keepLines/>
      <w:ind w:firstLine="0" w:firstLineChars="0"/>
      <w:jc w:val="center"/>
      <w:outlineLvl w:val="0"/>
    </w:pPr>
    <w:rPr>
      <w:rFonts w:hint="eastAsia"/>
      <w:b/>
      <w:kern w:val="44"/>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theme" Target="theme/theme1.xml"/><Relationship Id="rId6" Type="http://schemas.openxmlformats.org/officeDocument/2006/relationships/styles" Target="styles.xml"/><Relationship Id="rId7" Type="http://schemas.openxmlformats.org/officeDocument/2006/relationships/webSettings" Target="webSettings.xml"/><Relationship Id="rId8" Type="http://schemas.openxmlformats.org/officeDocument/2006/relationships/fontTable" Target="fontTable.xml"/><Relationship Id="rId9" Type="http://schemas.openxmlformats.org/officeDocument/2006/relationships/settings" Target="setting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 Id="rId2" Type="http://schemas.openxmlformats.org/officeDocument/2006/relationships/font" Target="fonts/font2.odttf"/><Relationship Id="rId3" Type="http://schemas.openxmlformats.org/officeDocument/2006/relationships/font" Target="fonts/font3.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5B8D7F60C47047B892C818B9D0108970_13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2059" textRotate="1"/>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TotalTime>
  <Pages>26</Pages>
  <Words>9977</Words>
  <Characters>10638</Characters>
  <Application>WPS Office_12.1.0.15120_F1E327BC-269C-435d-A152-05C5408002CA</Application>
  <DocSecurity>0</DocSecurity>
  <Lines>110</Lines>
  <Paragraphs>31</Paragraphs>
  <Company>Microsoft</Company>
  <CharactersWithSpaces>10665</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郭子歪</cp:lastModifiedBy>
  <cp:revision>3</cp:revision>
  <dcterms:created xsi:type="dcterms:W3CDTF">2019-11-25T12:51:00Z</dcterms:created>
  <dcterms:modified xsi:type="dcterms:W3CDTF">2025-09-02T03:33:55Z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2052-12.1.0.15120</vt:lpwstr>
  </property>
  <property fmtid="{D5CDD505-2E9C-101B-9397-08002B2CF9AE}" pid="3" name="ICV">
    <vt:lpwstr>5B8D7F60C47047B892C818B9D0108970_13</vt:lpwstr>
  </property>
  <property fmtid="{D5CDD505-2E9C-101B-9397-08002B2CF9AE}" pid="4" name="commondata">
    <vt:lpwstr>eyJoZGlkIjoiMzFhODQ1NGNmNGU5ZTQ0MGUxMDEzMGEzNzMxNWFjNDkifQ_x003D__x003D_</vt:lpwstr>
  </property>
  <property fmtid="{D5CDD505-2E9C-101B-9397-08002B2CF9AE}" pid="5" name="KSOTemplateDocerSaveRecord">
    <vt:lpwstr>eyJoZGlkIjoiODRhYjhkNzI4OGQ5M2E5NzE5YzFiNzg2M2ZlMzkxMWUiLCJ1c2VySWQiOiIxMTQ4NTc0MTIzIn0_x003D_</vt:lpwstr>
  </property>
</Properties>
</file>